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0"/>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EA34E3" w:rsidTr="00EA34E3">
        <w:trPr>
          <w:jc w:val="center"/>
        </w:trPr>
        <w:tc>
          <w:tcPr>
            <w:tcW w:w="743" w:type="dxa"/>
            <w:hideMark/>
          </w:tcPr>
          <w:p w:rsidR="00EA34E3" w:rsidRDefault="00EA34E3">
            <w:pPr>
              <w:spacing w:line="360" w:lineRule="auto"/>
              <w:jc w:val="both"/>
              <w:rPr>
                <w:rFonts w:ascii="David" w:hAnsi="David"/>
                <w:b/>
                <w:bCs/>
              </w:rPr>
            </w:pPr>
            <w:r>
              <w:rPr>
                <w:rFonts w:ascii="David" w:hAnsi="David"/>
                <w:b/>
                <w:bCs/>
                <w:rtl/>
              </w:rPr>
              <w:t xml:space="preserve">לפני </w:t>
            </w:r>
          </w:p>
        </w:tc>
        <w:tc>
          <w:tcPr>
            <w:tcW w:w="8077" w:type="dxa"/>
          </w:tcPr>
          <w:p w:rsidR="00EA34E3" w:rsidRPr="00C85AF6" w:rsidRDefault="00EA34E3" w:rsidP="00C85AF6">
            <w:pPr>
              <w:spacing w:line="360" w:lineRule="auto"/>
              <w:jc w:val="both"/>
              <w:rPr>
                <w:rFonts w:ascii="David" w:hAnsi="David"/>
                <w:b/>
                <w:bCs/>
                <w:rtl/>
              </w:rPr>
            </w:pPr>
            <w:r>
              <w:rPr>
                <w:rFonts w:ascii="David" w:hAnsi="David"/>
                <w:b/>
                <w:bCs/>
                <w:rtl/>
              </w:rPr>
              <w:t>כב' השופטת  ליאת דהן חיון</w:t>
            </w:r>
          </w:p>
        </w:tc>
      </w:tr>
    </w:tbl>
    <w:tbl>
      <w:tblPr>
        <w:tblStyle w:val="a9"/>
        <w:bidiVisual/>
        <w:tblW w:w="8848"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922"/>
        <w:gridCol w:w="46"/>
      </w:tblGrid>
      <w:tr w:rsidR="00EA34E3" w:rsidTr="00BD1B7F">
        <w:trPr>
          <w:gridAfter w:val="1"/>
          <w:wAfter w:w="46" w:type="dxa"/>
          <w:cantSplit/>
          <w:trHeight w:val="724"/>
        </w:trPr>
        <w:tc>
          <w:tcPr>
            <w:tcW w:w="2880" w:type="dxa"/>
            <w:gridSpan w:val="2"/>
            <w:hideMark/>
          </w:tcPr>
          <w:p w:rsidR="00EA34E3" w:rsidRDefault="00EA34E3">
            <w:pPr>
              <w:spacing w:line="360" w:lineRule="auto"/>
              <w:ind w:left="26"/>
              <w:jc w:val="both"/>
              <w:rPr>
                <w:rFonts w:ascii="David" w:hAnsi="David"/>
                <w:b/>
                <w:bCs/>
                <w:u w:val="single"/>
              </w:rPr>
            </w:pPr>
            <w:r>
              <w:rPr>
                <w:rFonts w:ascii="David" w:hAnsi="David"/>
                <w:b/>
                <w:bCs/>
                <w:u w:val="single"/>
                <w:rtl/>
              </w:rPr>
              <w:t>התובעת</w:t>
            </w:r>
          </w:p>
          <w:p w:rsidR="00EA34E3" w:rsidRDefault="00EA34E3">
            <w:pPr>
              <w:spacing w:line="360" w:lineRule="auto"/>
              <w:jc w:val="both"/>
              <w:rPr>
                <w:rFonts w:ascii="David" w:hAnsi="David"/>
                <w:rtl/>
              </w:rPr>
            </w:pPr>
            <w:r>
              <w:rPr>
                <w:rFonts w:ascii="David" w:hAnsi="David"/>
                <w:rtl/>
              </w:rPr>
              <w:t xml:space="preserve">                                                </w:t>
            </w:r>
            <w:r>
              <w:rPr>
                <w:rFonts w:ascii="David" w:hAnsi="David"/>
              </w:rPr>
              <w:t xml:space="preserve"> </w:t>
            </w:r>
            <w:r>
              <w:rPr>
                <w:rFonts w:ascii="David" w:hAnsi="David"/>
                <w:rtl/>
              </w:rPr>
              <w:t xml:space="preserve">                                                                                       </w:t>
            </w:r>
          </w:p>
        </w:tc>
        <w:tc>
          <w:tcPr>
            <w:tcW w:w="5922" w:type="dxa"/>
            <w:hideMark/>
          </w:tcPr>
          <w:p w:rsidR="00EA34E3" w:rsidRPr="00D01B8C" w:rsidRDefault="00D01B8C">
            <w:pPr>
              <w:spacing w:line="360" w:lineRule="auto"/>
              <w:jc w:val="both"/>
              <w:rPr>
                <w:rFonts w:ascii="David" w:hAnsi="David"/>
                <w:b/>
                <w:bCs/>
                <w:rtl/>
              </w:rPr>
            </w:pPr>
            <w:r>
              <w:rPr>
                <w:rFonts w:ascii="David" w:hAnsi="David" w:hint="cs"/>
                <w:b/>
                <w:bCs/>
                <w:rtl/>
              </w:rPr>
              <w:t xml:space="preserve">פלונית </w:t>
            </w:r>
          </w:p>
          <w:p w:rsidR="00EA34E3" w:rsidRDefault="00EA34E3">
            <w:pPr>
              <w:spacing w:line="360" w:lineRule="auto"/>
              <w:jc w:val="both"/>
              <w:rPr>
                <w:rFonts w:ascii="David" w:hAnsi="David"/>
                <w:b/>
                <w:bCs/>
                <w:rtl/>
              </w:rPr>
            </w:pPr>
            <w:r>
              <w:rPr>
                <w:rFonts w:ascii="David" w:hAnsi="David"/>
                <w:b/>
                <w:bCs/>
                <w:rtl/>
              </w:rPr>
              <w:t xml:space="preserve">ע"י ב"כ עו"ד שלח מונסף </w:t>
            </w:r>
          </w:p>
        </w:tc>
      </w:tr>
      <w:tr w:rsidR="00EA34E3" w:rsidTr="00BD1B7F">
        <w:trPr>
          <w:gridAfter w:val="1"/>
          <w:wAfter w:w="46" w:type="dxa"/>
        </w:trPr>
        <w:tc>
          <w:tcPr>
            <w:tcW w:w="8802" w:type="dxa"/>
            <w:gridSpan w:val="3"/>
            <w:vAlign w:val="center"/>
          </w:tcPr>
          <w:p w:rsidR="00EA34E3" w:rsidRDefault="00EA34E3">
            <w:pPr>
              <w:spacing w:line="360" w:lineRule="auto"/>
              <w:jc w:val="both"/>
              <w:rPr>
                <w:rFonts w:ascii="David" w:hAnsi="David"/>
                <w:b/>
                <w:bCs/>
                <w:rtl/>
              </w:rPr>
            </w:pPr>
          </w:p>
          <w:p w:rsidR="00EA34E3" w:rsidRDefault="00EA34E3">
            <w:pPr>
              <w:spacing w:line="360" w:lineRule="auto"/>
              <w:jc w:val="center"/>
              <w:rPr>
                <w:rFonts w:ascii="David" w:hAnsi="David"/>
                <w:b/>
                <w:bCs/>
                <w:rtl/>
              </w:rPr>
            </w:pPr>
            <w:r>
              <w:rPr>
                <w:rFonts w:ascii="David" w:hAnsi="David"/>
                <w:b/>
                <w:bCs/>
                <w:rtl/>
              </w:rPr>
              <w:t>נגד</w:t>
            </w:r>
          </w:p>
          <w:p w:rsidR="00EA34E3" w:rsidRDefault="00EA34E3">
            <w:pPr>
              <w:spacing w:line="360" w:lineRule="auto"/>
              <w:jc w:val="both"/>
              <w:rPr>
                <w:rFonts w:ascii="David" w:hAnsi="David"/>
                <w:b/>
                <w:bCs/>
                <w:rtl/>
              </w:rPr>
            </w:pPr>
          </w:p>
        </w:tc>
      </w:tr>
      <w:tr w:rsidR="00EA34E3" w:rsidTr="00BD1B7F">
        <w:trPr>
          <w:gridAfter w:val="1"/>
          <w:wAfter w:w="46" w:type="dxa"/>
        </w:trPr>
        <w:tc>
          <w:tcPr>
            <w:tcW w:w="2880" w:type="dxa"/>
            <w:gridSpan w:val="2"/>
            <w:hideMark/>
          </w:tcPr>
          <w:p w:rsidR="00EA34E3" w:rsidRDefault="00EA34E3">
            <w:pPr>
              <w:spacing w:line="360" w:lineRule="auto"/>
              <w:ind w:left="26"/>
              <w:jc w:val="both"/>
              <w:rPr>
                <w:rFonts w:ascii="David" w:hAnsi="David"/>
                <w:b/>
                <w:bCs/>
                <w:u w:val="single"/>
                <w:rtl/>
              </w:rPr>
            </w:pPr>
            <w:r>
              <w:rPr>
                <w:rFonts w:ascii="David" w:hAnsi="David"/>
                <w:b/>
                <w:bCs/>
                <w:u w:val="single"/>
                <w:rtl/>
              </w:rPr>
              <w:t>הנתבעים</w:t>
            </w:r>
          </w:p>
        </w:tc>
        <w:tc>
          <w:tcPr>
            <w:tcW w:w="5922" w:type="dxa"/>
          </w:tcPr>
          <w:p w:rsidR="00EA34E3" w:rsidRDefault="00EA34E3" w:rsidP="00D01B8C">
            <w:pPr>
              <w:spacing w:line="360" w:lineRule="auto"/>
              <w:jc w:val="both"/>
              <w:rPr>
                <w:rFonts w:ascii="David" w:hAnsi="David"/>
                <w:b/>
                <w:bCs/>
                <w:rtl/>
              </w:rPr>
            </w:pPr>
            <w:r>
              <w:rPr>
                <w:rFonts w:ascii="David" w:hAnsi="David"/>
                <w:b/>
                <w:bCs/>
              </w:rPr>
              <w:t>.1</w:t>
            </w:r>
            <w:r>
              <w:rPr>
                <w:rFonts w:ascii="David" w:hAnsi="David"/>
                <w:rtl/>
              </w:rPr>
              <w:t xml:space="preserve"> </w:t>
            </w:r>
            <w:r w:rsidR="00D01B8C">
              <w:rPr>
                <w:rFonts w:ascii="David" w:hAnsi="David" w:hint="cs"/>
                <w:b/>
                <w:bCs/>
                <w:rtl/>
              </w:rPr>
              <w:t xml:space="preserve">אלמוני </w:t>
            </w:r>
          </w:p>
          <w:p w:rsidR="00EA34E3" w:rsidRDefault="00EA34E3">
            <w:pPr>
              <w:spacing w:line="360" w:lineRule="auto"/>
              <w:jc w:val="both"/>
              <w:rPr>
                <w:rFonts w:ascii="David" w:hAnsi="David"/>
                <w:b/>
                <w:bCs/>
                <w:rtl/>
              </w:rPr>
            </w:pPr>
            <w:r>
              <w:rPr>
                <w:rFonts w:ascii="David" w:hAnsi="David"/>
                <w:b/>
                <w:bCs/>
                <w:rtl/>
              </w:rPr>
              <w:t>ע"י ב"כ עוה"ד נרקיס חנייא</w:t>
            </w:r>
          </w:p>
          <w:p w:rsidR="00EA34E3" w:rsidRDefault="00D01B8C" w:rsidP="00D01B8C">
            <w:pPr>
              <w:spacing w:line="360" w:lineRule="auto"/>
              <w:jc w:val="both"/>
              <w:rPr>
                <w:rFonts w:ascii="David" w:hAnsi="David"/>
                <w:b/>
                <w:bCs/>
                <w:rtl/>
              </w:rPr>
            </w:pPr>
            <w:r>
              <w:rPr>
                <w:rFonts w:ascii="David" w:hAnsi="David" w:hint="cs"/>
                <w:b/>
                <w:bCs/>
                <w:rtl/>
              </w:rPr>
              <w:t xml:space="preserve">2. אלמוני </w:t>
            </w:r>
          </w:p>
          <w:p w:rsidR="00EA34E3" w:rsidRDefault="00EA34E3">
            <w:pPr>
              <w:spacing w:line="360" w:lineRule="auto"/>
              <w:jc w:val="both"/>
              <w:rPr>
                <w:rFonts w:ascii="David" w:hAnsi="David"/>
                <w:b/>
                <w:bCs/>
                <w:rtl/>
              </w:rPr>
            </w:pPr>
          </w:p>
        </w:tc>
      </w:tr>
      <w:tr w:rsidR="00EA34E3" w:rsidTr="00BD1B7F">
        <w:tblPrEx>
          <w:jc w:val="center"/>
          <w:tblInd w:w="0" w:type="dxa"/>
        </w:tblPrEx>
        <w:trPr>
          <w:gridBefore w:val="1"/>
          <w:wBefore w:w="28" w:type="dxa"/>
          <w:jc w:val="center"/>
        </w:trPr>
        <w:tc>
          <w:tcPr>
            <w:tcW w:w="8820" w:type="dxa"/>
            <w:gridSpan w:val="3"/>
            <w:hideMark/>
          </w:tcPr>
          <w:p w:rsidR="00EA34E3" w:rsidRDefault="00EA34E3">
            <w:pPr>
              <w:bidi w:val="0"/>
              <w:spacing w:line="360" w:lineRule="auto"/>
              <w:jc w:val="center"/>
              <w:rPr>
                <w:rFonts w:ascii="David" w:hAnsi="David"/>
                <w:b/>
                <w:bCs/>
                <w:noProof w:val="0"/>
                <w:sz w:val="28"/>
                <w:szCs w:val="28"/>
                <w:u w:val="single"/>
                <w:rtl/>
              </w:rPr>
            </w:pPr>
            <w:r>
              <w:rPr>
                <w:rFonts w:ascii="David" w:hAnsi="David"/>
                <w:b/>
                <w:bCs/>
                <w:noProof w:val="0"/>
                <w:sz w:val="28"/>
                <w:szCs w:val="28"/>
                <w:u w:val="single"/>
                <w:rtl/>
              </w:rPr>
              <w:t>החלטה</w:t>
            </w:r>
          </w:p>
        </w:tc>
      </w:tr>
    </w:tbl>
    <w:p w:rsidR="00EA34E3" w:rsidRDefault="00EA34E3" w:rsidP="00EA34E3">
      <w:pPr>
        <w:spacing w:line="360" w:lineRule="auto"/>
        <w:jc w:val="both"/>
        <w:rPr>
          <w:rFonts w:ascii="David" w:hAnsi="David"/>
          <w:rtl/>
        </w:rPr>
      </w:pPr>
    </w:p>
    <w:p w:rsidR="00EA34E3" w:rsidRDefault="00EA34E3" w:rsidP="00EA34E3">
      <w:pPr>
        <w:spacing w:line="360" w:lineRule="auto"/>
        <w:jc w:val="both"/>
        <w:rPr>
          <w:rFonts w:ascii="David" w:hAnsi="David"/>
        </w:rPr>
      </w:pPr>
      <w:r>
        <w:rPr>
          <w:rFonts w:ascii="David" w:hAnsi="David"/>
          <w:rtl/>
        </w:rPr>
        <w:t xml:space="preserve">עניינה של החלטתי זו </w:t>
      </w:r>
      <w:r w:rsidR="00C85AF6">
        <w:rPr>
          <w:rFonts w:ascii="David" w:hAnsi="David" w:hint="cs"/>
          <w:rtl/>
        </w:rPr>
        <w:t>בטענת התובעת למעשה בית דין, כמו גם בקשתה</w:t>
      </w:r>
      <w:r w:rsidR="000E1870">
        <w:rPr>
          <w:rFonts w:ascii="David" w:hAnsi="David" w:hint="cs"/>
          <w:rtl/>
        </w:rPr>
        <w:t xml:space="preserve"> לחזור בה </w:t>
      </w:r>
      <w:r w:rsidR="008F5830">
        <w:rPr>
          <w:rFonts w:ascii="David" w:hAnsi="David" w:hint="cs"/>
          <w:rtl/>
        </w:rPr>
        <w:t>מ</w:t>
      </w:r>
      <w:r w:rsidR="00C85AF6">
        <w:rPr>
          <w:rFonts w:ascii="David" w:hAnsi="David" w:hint="cs"/>
          <w:rtl/>
        </w:rPr>
        <w:t>הסכמה</w:t>
      </w:r>
      <w:r w:rsidR="008F5830">
        <w:rPr>
          <w:rFonts w:ascii="David" w:hAnsi="David" w:hint="cs"/>
          <w:rtl/>
        </w:rPr>
        <w:t xml:space="preserve"> דיונית  בהתאם</w:t>
      </w:r>
      <w:r w:rsidR="00C85AF6">
        <w:rPr>
          <w:rFonts w:ascii="David" w:hAnsi="David" w:hint="cs"/>
          <w:rtl/>
        </w:rPr>
        <w:t xml:space="preserve"> </w:t>
      </w:r>
      <w:r w:rsidR="00C85AF6">
        <w:rPr>
          <w:rFonts w:ascii="David" w:hAnsi="David"/>
          <w:rtl/>
        </w:rPr>
        <w:t xml:space="preserve">לה ימונה </w:t>
      </w:r>
      <w:r>
        <w:rPr>
          <w:rFonts w:ascii="David" w:hAnsi="David"/>
          <w:rtl/>
        </w:rPr>
        <w:t>מומחה מטעם ביהמ"ש לבדיקת חתימת הנתבע</w:t>
      </w:r>
      <w:r w:rsidR="00C85AF6">
        <w:rPr>
          <w:rFonts w:ascii="David" w:hAnsi="David" w:hint="cs"/>
          <w:rtl/>
        </w:rPr>
        <w:t xml:space="preserve"> על</w:t>
      </w:r>
      <w:r w:rsidR="008F5830">
        <w:rPr>
          <w:rFonts w:ascii="David" w:hAnsi="David" w:hint="cs"/>
          <w:rtl/>
        </w:rPr>
        <w:t xml:space="preserve"> יפוי הכח נשוא המחלוקת.  </w:t>
      </w:r>
    </w:p>
    <w:p w:rsidR="00EA34E3" w:rsidRPr="00C85AF6" w:rsidRDefault="00EA34E3" w:rsidP="00EA34E3">
      <w:pPr>
        <w:spacing w:line="360" w:lineRule="auto"/>
        <w:jc w:val="both"/>
        <w:rPr>
          <w:rFonts w:ascii="David" w:hAnsi="David"/>
          <w:rtl/>
        </w:rPr>
      </w:pPr>
    </w:p>
    <w:p w:rsidR="00EA34E3" w:rsidRDefault="00EA34E3" w:rsidP="00EA34E3">
      <w:pPr>
        <w:spacing w:line="360" w:lineRule="auto"/>
        <w:jc w:val="both"/>
        <w:rPr>
          <w:rFonts w:ascii="David" w:hAnsi="David"/>
          <w:b/>
          <w:bCs/>
          <w:sz w:val="28"/>
          <w:szCs w:val="28"/>
          <w:u w:val="single"/>
          <w:rtl/>
        </w:rPr>
      </w:pPr>
      <w:r>
        <w:rPr>
          <w:rFonts w:ascii="David" w:hAnsi="David"/>
          <w:b/>
          <w:bCs/>
          <w:sz w:val="28"/>
          <w:szCs w:val="28"/>
          <w:u w:val="single"/>
          <w:rtl/>
        </w:rPr>
        <w:t>רקע והשתלשלות ההליכים ;</w:t>
      </w:r>
    </w:p>
    <w:p w:rsidR="00EA34E3" w:rsidRDefault="00EA34E3" w:rsidP="000E1870">
      <w:pPr>
        <w:jc w:val="both"/>
        <w:rPr>
          <w:rFonts w:ascii="David" w:hAnsi="David"/>
          <w:b/>
          <w:bCs/>
          <w:u w:val="single"/>
          <w:rtl/>
        </w:rPr>
      </w:pPr>
    </w:p>
    <w:p w:rsidR="00EA34E3" w:rsidRDefault="00EA34E3" w:rsidP="00EA34E3">
      <w:pPr>
        <w:pStyle w:val="ad"/>
        <w:numPr>
          <w:ilvl w:val="0"/>
          <w:numId w:val="2"/>
        </w:numPr>
        <w:spacing w:line="360" w:lineRule="auto"/>
        <w:jc w:val="both"/>
        <w:rPr>
          <w:rFonts w:ascii="David" w:hAnsi="David"/>
          <w:rtl/>
        </w:rPr>
      </w:pPr>
      <w:r>
        <w:rPr>
          <w:rFonts w:ascii="David" w:hAnsi="David"/>
          <w:rtl/>
        </w:rPr>
        <w:t>ראשיתו של ההליך בתביעה לפני בית המשפט המחוזי שהועברה לבית המשפט כאן בהתאם להחלטה מיום  22.8.21.</w:t>
      </w:r>
    </w:p>
    <w:p w:rsidR="00EA34E3" w:rsidRDefault="00EA34E3" w:rsidP="00EA34E3">
      <w:pPr>
        <w:pStyle w:val="ad"/>
        <w:spacing w:line="360" w:lineRule="auto"/>
        <w:jc w:val="both"/>
        <w:rPr>
          <w:rFonts w:ascii="David" w:hAnsi="David"/>
          <w:rtl/>
        </w:rPr>
      </w:pPr>
    </w:p>
    <w:p w:rsidR="00EA34E3" w:rsidRDefault="008F5830" w:rsidP="00EA34E3">
      <w:pPr>
        <w:pStyle w:val="ad"/>
        <w:numPr>
          <w:ilvl w:val="0"/>
          <w:numId w:val="2"/>
        </w:numPr>
        <w:spacing w:line="360" w:lineRule="auto"/>
        <w:jc w:val="both"/>
        <w:rPr>
          <w:rFonts w:ascii="David" w:hAnsi="David"/>
          <w:rtl/>
        </w:rPr>
      </w:pPr>
      <w:r>
        <w:rPr>
          <w:rFonts w:ascii="David" w:hAnsi="David"/>
          <w:rtl/>
        </w:rPr>
        <w:t xml:space="preserve">בעניין התובעת והנתבע 1 </w:t>
      </w:r>
      <w:r w:rsidR="00EA34E3">
        <w:rPr>
          <w:rFonts w:ascii="David" w:hAnsi="David"/>
          <w:rtl/>
        </w:rPr>
        <w:t xml:space="preserve">מונחות לפניי שתי תביעות </w:t>
      </w:r>
      <w:r>
        <w:rPr>
          <w:rFonts w:ascii="David" w:hAnsi="David" w:hint="cs"/>
          <w:rtl/>
        </w:rPr>
        <w:t xml:space="preserve">אותן הגישה התובעת, </w:t>
      </w:r>
      <w:r w:rsidR="00EA34E3">
        <w:rPr>
          <w:rFonts w:ascii="David" w:hAnsi="David"/>
          <w:rtl/>
        </w:rPr>
        <w:t>באותה מסכת עובדתית; האחת</w:t>
      </w:r>
      <w:r w:rsidR="000E1870">
        <w:rPr>
          <w:rFonts w:ascii="David" w:hAnsi="David" w:hint="cs"/>
          <w:rtl/>
        </w:rPr>
        <w:t xml:space="preserve">, </w:t>
      </w:r>
      <w:r w:rsidR="00EA34E3">
        <w:rPr>
          <w:rFonts w:ascii="David" w:hAnsi="David"/>
          <w:rtl/>
        </w:rPr>
        <w:t xml:space="preserve"> תביעה לפסק</w:t>
      </w:r>
      <w:r>
        <w:rPr>
          <w:rFonts w:ascii="David" w:hAnsi="David"/>
          <w:rtl/>
        </w:rPr>
        <w:t xml:space="preserve"> דין הצהרתי (תמ"ש 58276-10-20)</w:t>
      </w:r>
      <w:r>
        <w:rPr>
          <w:rFonts w:ascii="David" w:hAnsi="David" w:hint="cs"/>
          <w:rtl/>
        </w:rPr>
        <w:t xml:space="preserve">, </w:t>
      </w:r>
      <w:r w:rsidR="00EA34E3">
        <w:rPr>
          <w:rFonts w:ascii="David" w:hAnsi="David"/>
          <w:rtl/>
        </w:rPr>
        <w:t>והשניה</w:t>
      </w:r>
      <w:r w:rsidR="000E1870">
        <w:rPr>
          <w:rFonts w:ascii="David" w:hAnsi="David" w:hint="cs"/>
          <w:rtl/>
        </w:rPr>
        <w:t>,</w:t>
      </w:r>
      <w:r w:rsidR="00EA34E3">
        <w:rPr>
          <w:rFonts w:ascii="David" w:hAnsi="David"/>
          <w:rtl/>
        </w:rPr>
        <w:t xml:space="preserve"> תביעה כספית ע"ס 4,302,000 ₪ (תמ"ש 18035-11-20).</w:t>
      </w:r>
    </w:p>
    <w:p w:rsidR="00EA34E3" w:rsidRDefault="00EA34E3" w:rsidP="00EA34E3">
      <w:pPr>
        <w:spacing w:line="360" w:lineRule="auto"/>
        <w:jc w:val="both"/>
        <w:rPr>
          <w:rFonts w:ascii="David" w:hAnsi="David"/>
        </w:rPr>
      </w:pPr>
    </w:p>
    <w:p w:rsidR="00EA34E3" w:rsidRDefault="00EA34E3" w:rsidP="00D01B8C">
      <w:pPr>
        <w:pStyle w:val="ad"/>
        <w:numPr>
          <w:ilvl w:val="0"/>
          <w:numId w:val="2"/>
        </w:numPr>
        <w:spacing w:line="360" w:lineRule="auto"/>
        <w:jc w:val="both"/>
        <w:rPr>
          <w:rFonts w:ascii="David" w:hAnsi="David"/>
        </w:rPr>
      </w:pPr>
      <w:r>
        <w:rPr>
          <w:rFonts w:ascii="David" w:hAnsi="David"/>
          <w:rtl/>
        </w:rPr>
        <w:t xml:space="preserve">בשנת 1992 רכש הנתבע </w:t>
      </w:r>
      <w:r w:rsidR="0003619E">
        <w:rPr>
          <w:rFonts w:ascii="David" w:hAnsi="David" w:hint="cs"/>
          <w:rtl/>
        </w:rPr>
        <w:t>1</w:t>
      </w:r>
      <w:r>
        <w:rPr>
          <w:rFonts w:ascii="David" w:hAnsi="David"/>
          <w:rtl/>
        </w:rPr>
        <w:t xml:space="preserve"> (להלן: </w:t>
      </w:r>
      <w:r>
        <w:rPr>
          <w:rFonts w:ascii="David" w:hAnsi="David"/>
          <w:b/>
          <w:bCs/>
          <w:rtl/>
        </w:rPr>
        <w:t>"הנתבע"</w:t>
      </w:r>
      <w:r>
        <w:rPr>
          <w:rFonts w:ascii="David" w:hAnsi="David"/>
          <w:rtl/>
        </w:rPr>
        <w:t xml:space="preserve">) מנתבע 2 ( להלן: </w:t>
      </w:r>
      <w:r>
        <w:rPr>
          <w:rFonts w:ascii="David" w:hAnsi="David"/>
          <w:b/>
          <w:bCs/>
          <w:rtl/>
        </w:rPr>
        <w:t>"נתבע 2"</w:t>
      </w:r>
      <w:r>
        <w:rPr>
          <w:rFonts w:ascii="David" w:hAnsi="David"/>
          <w:rtl/>
        </w:rPr>
        <w:t xml:space="preserve">)  שטח של 150 מ"ר מכלל החלקים בנכס הידוע חלקה </w:t>
      </w:r>
      <w:r w:rsidR="00D01B8C">
        <w:rPr>
          <w:rFonts w:ascii="David" w:hAnsi="David" w:hint="cs"/>
          <w:rtl/>
        </w:rPr>
        <w:t xml:space="preserve">*** </w:t>
      </w:r>
      <w:r>
        <w:rPr>
          <w:rFonts w:ascii="David" w:hAnsi="David"/>
          <w:rtl/>
        </w:rPr>
        <w:t xml:space="preserve">בגוש </w:t>
      </w:r>
      <w:r w:rsidR="00D01B8C">
        <w:rPr>
          <w:rFonts w:ascii="David" w:hAnsi="David" w:hint="cs"/>
          <w:rtl/>
        </w:rPr>
        <w:t xml:space="preserve">*** </w:t>
      </w:r>
      <w:r>
        <w:rPr>
          <w:rFonts w:ascii="David" w:hAnsi="David"/>
          <w:rtl/>
        </w:rPr>
        <w:t>להלן:</w:t>
      </w:r>
      <w:r>
        <w:rPr>
          <w:rFonts w:ascii="David" w:hAnsi="David"/>
          <w:b/>
          <w:bCs/>
          <w:rtl/>
        </w:rPr>
        <w:t>"המקרקעין"</w:t>
      </w:r>
      <w:r>
        <w:rPr>
          <w:rFonts w:ascii="David" w:hAnsi="David"/>
          <w:rtl/>
        </w:rPr>
        <w:t>). העסקה דווחה, ברם טרם הושלם הלי</w:t>
      </w:r>
      <w:r w:rsidR="008F5830">
        <w:rPr>
          <w:rFonts w:ascii="David" w:hAnsi="David"/>
          <w:rtl/>
        </w:rPr>
        <w:t>ך רישום הזכויות בפנקסי המקרקעין</w:t>
      </w:r>
      <w:r>
        <w:rPr>
          <w:rFonts w:ascii="David" w:hAnsi="David"/>
          <w:rtl/>
        </w:rPr>
        <w:t>.</w:t>
      </w:r>
      <w:r w:rsidR="000E1870">
        <w:rPr>
          <w:rFonts w:ascii="David" w:hAnsi="David" w:hint="cs"/>
          <w:rtl/>
        </w:rPr>
        <w:t xml:space="preserve"> המחלוקת בין הצדדים עיקרה בטענת התובעת </w:t>
      </w:r>
      <w:r w:rsidR="000E1870">
        <w:rPr>
          <w:rFonts w:ascii="David" w:hAnsi="David"/>
          <w:rtl/>
        </w:rPr>
        <w:t>(להלן:"</w:t>
      </w:r>
      <w:r w:rsidR="000E1870">
        <w:rPr>
          <w:rFonts w:ascii="David" w:hAnsi="David"/>
          <w:b/>
          <w:bCs/>
          <w:rtl/>
        </w:rPr>
        <w:t>התובעת"</w:t>
      </w:r>
      <w:r w:rsidR="000E1870">
        <w:rPr>
          <w:rFonts w:ascii="David" w:hAnsi="David"/>
          <w:rtl/>
        </w:rPr>
        <w:t>)</w:t>
      </w:r>
      <w:r w:rsidR="000E1870">
        <w:rPr>
          <w:rFonts w:ascii="David" w:hAnsi="David" w:hint="cs"/>
          <w:rtl/>
        </w:rPr>
        <w:t xml:space="preserve"> ולפיה הנתבע מכר לה ללא תמורה את זכויותיו במקרקעין, וחתם על ייפוי כח בלתי חוזר. הנתבע מכחיש טענותיה, ובין היתר גורס שחתימתו זוייפה.  </w:t>
      </w:r>
    </w:p>
    <w:p w:rsidR="00EA34E3" w:rsidRDefault="00EA34E3" w:rsidP="000E1870">
      <w:pPr>
        <w:jc w:val="both"/>
        <w:rPr>
          <w:rFonts w:ascii="David" w:hAnsi="David"/>
          <w:rtl/>
        </w:rPr>
      </w:pPr>
    </w:p>
    <w:p w:rsidR="00EA34E3" w:rsidRDefault="00EA34E3" w:rsidP="00EA34E3">
      <w:pPr>
        <w:pStyle w:val="ad"/>
        <w:numPr>
          <w:ilvl w:val="0"/>
          <w:numId w:val="2"/>
        </w:numPr>
        <w:spacing w:line="360" w:lineRule="auto"/>
        <w:jc w:val="both"/>
        <w:rPr>
          <w:rFonts w:ascii="David" w:hAnsi="David"/>
          <w:b/>
          <w:bCs/>
        </w:rPr>
      </w:pPr>
      <w:r>
        <w:rPr>
          <w:rFonts w:ascii="David" w:hAnsi="David"/>
          <w:rtl/>
        </w:rPr>
        <w:t>ביום  11.4.22 התקיים דיון במעמד הצדדים ממנו נעדרה התובעת, מסגרתו גובשה הסכמה</w:t>
      </w:r>
      <w:r w:rsidR="008F5830">
        <w:rPr>
          <w:rFonts w:ascii="David" w:hAnsi="David" w:hint="cs"/>
          <w:rtl/>
        </w:rPr>
        <w:t xml:space="preserve"> דיונית</w:t>
      </w:r>
      <w:r>
        <w:rPr>
          <w:rFonts w:ascii="David" w:hAnsi="David"/>
          <w:rtl/>
        </w:rPr>
        <w:t xml:space="preserve"> לפיה ימונה מומחה מטעם בית המשפט לבחינת חתימת הנתבע על ייפוי הכח נשוא המחלוקת. </w:t>
      </w:r>
    </w:p>
    <w:p w:rsidR="00EA34E3" w:rsidRDefault="00EA34E3" w:rsidP="000E1870">
      <w:pPr>
        <w:pStyle w:val="ad"/>
        <w:jc w:val="both"/>
        <w:rPr>
          <w:rFonts w:ascii="David" w:hAnsi="David"/>
          <w:b/>
          <w:bCs/>
        </w:rPr>
      </w:pPr>
    </w:p>
    <w:p w:rsidR="00EA34E3" w:rsidRDefault="000E1870" w:rsidP="00D01B8C">
      <w:pPr>
        <w:pStyle w:val="ad"/>
        <w:numPr>
          <w:ilvl w:val="0"/>
          <w:numId w:val="2"/>
        </w:numPr>
        <w:spacing w:line="360" w:lineRule="auto"/>
        <w:jc w:val="both"/>
        <w:rPr>
          <w:rFonts w:ascii="David" w:hAnsi="David"/>
        </w:rPr>
      </w:pPr>
      <w:r>
        <w:rPr>
          <w:rFonts w:ascii="David" w:hAnsi="David" w:hint="cs"/>
          <w:rtl/>
        </w:rPr>
        <w:t xml:space="preserve">לאחר הדיון, </w:t>
      </w:r>
      <w:r w:rsidR="00EA34E3">
        <w:rPr>
          <w:rFonts w:ascii="David" w:hAnsi="David"/>
          <w:rtl/>
        </w:rPr>
        <w:t xml:space="preserve">התובעת הגישה בר"ע על החלטות בית המשפט מיום 11.4.22; 26.4.22; 27.4.22  מסגרתן נקבע בין היתר שעליה לפעול להמצאת כתב התביעה, ומשלא עשתה כן חוייבה בהוצאות. </w:t>
      </w:r>
      <w:r w:rsidR="00EA34E3">
        <w:rPr>
          <w:rFonts w:ascii="David" w:hAnsi="David"/>
          <w:rtl/>
        </w:rPr>
        <w:lastRenderedPageBreak/>
        <w:t>ביום 18.7.22 נידונה בקשת רשות ערעור בביהמ"ש (רמ"ש 19330-05-22) ונקבע שנוכח טענות התובעת למעשה בית דין, ראשית בית</w:t>
      </w:r>
      <w:r w:rsidR="008F5830">
        <w:rPr>
          <w:rFonts w:ascii="David" w:hAnsi="David"/>
          <w:rtl/>
        </w:rPr>
        <w:t xml:space="preserve"> המשפט ייתן החלטתו במחלוקת זו, </w:t>
      </w:r>
      <w:r w:rsidR="00EA34E3">
        <w:rPr>
          <w:rFonts w:ascii="David" w:hAnsi="David"/>
          <w:rtl/>
        </w:rPr>
        <w:t xml:space="preserve">בטרם ימונה מומחה. </w:t>
      </w:r>
    </w:p>
    <w:p w:rsidR="00EA34E3" w:rsidRPr="008F5830" w:rsidRDefault="00EA34E3" w:rsidP="00EA34E3">
      <w:pPr>
        <w:pStyle w:val="ad"/>
        <w:rPr>
          <w:rFonts w:ascii="David" w:hAnsi="David"/>
        </w:rPr>
      </w:pPr>
    </w:p>
    <w:p w:rsidR="00EA34E3" w:rsidRDefault="00EA34E3" w:rsidP="00EA34E3">
      <w:pPr>
        <w:pStyle w:val="ad"/>
        <w:numPr>
          <w:ilvl w:val="0"/>
          <w:numId w:val="2"/>
        </w:numPr>
        <w:spacing w:line="360" w:lineRule="auto"/>
        <w:jc w:val="both"/>
        <w:rPr>
          <w:rFonts w:ascii="David" w:hAnsi="David"/>
        </w:rPr>
      </w:pPr>
      <w:r>
        <w:rPr>
          <w:rFonts w:ascii="David" w:hAnsi="David"/>
          <w:rtl/>
        </w:rPr>
        <w:t>במסגרת החלטתי זו, אדרש לטענות התובעת למעשה בית דין, ובהתאמה לכך, לבקשתה לחזור בה מן ההסכמה הדיונית</w:t>
      </w:r>
      <w:r w:rsidR="008F5830">
        <w:rPr>
          <w:rFonts w:ascii="David" w:hAnsi="David" w:hint="cs"/>
          <w:rtl/>
        </w:rPr>
        <w:t xml:space="preserve">. </w:t>
      </w:r>
      <w:r w:rsidR="008F5830">
        <w:rPr>
          <w:rFonts w:ascii="David" w:hAnsi="David"/>
          <w:rtl/>
        </w:rPr>
        <w:t xml:space="preserve"> </w:t>
      </w:r>
    </w:p>
    <w:p w:rsidR="00EA34E3" w:rsidRDefault="00EA34E3" w:rsidP="000E1870">
      <w:pPr>
        <w:jc w:val="both"/>
        <w:rPr>
          <w:rFonts w:ascii="David" w:hAnsi="David"/>
          <w:b/>
          <w:bCs/>
          <w:u w:val="single"/>
          <w:rtl/>
        </w:rPr>
      </w:pPr>
    </w:p>
    <w:p w:rsidR="00EA34E3" w:rsidRDefault="00EA34E3" w:rsidP="00EA34E3">
      <w:pPr>
        <w:spacing w:line="360" w:lineRule="auto"/>
        <w:jc w:val="both"/>
        <w:rPr>
          <w:rFonts w:ascii="David" w:hAnsi="David"/>
          <w:b/>
          <w:bCs/>
          <w:sz w:val="28"/>
          <w:szCs w:val="28"/>
          <w:u w:val="single"/>
          <w:rtl/>
        </w:rPr>
      </w:pPr>
      <w:r>
        <w:rPr>
          <w:rFonts w:ascii="David" w:hAnsi="David"/>
          <w:b/>
          <w:bCs/>
          <w:sz w:val="28"/>
          <w:szCs w:val="28"/>
          <w:u w:val="single"/>
          <w:rtl/>
        </w:rPr>
        <w:t>עיקר טענות הצדדים:</w:t>
      </w:r>
    </w:p>
    <w:p w:rsidR="00EA34E3" w:rsidRDefault="00EA34E3" w:rsidP="00EA34E3">
      <w:pPr>
        <w:pStyle w:val="ad"/>
        <w:spacing w:line="360" w:lineRule="auto"/>
        <w:jc w:val="both"/>
        <w:rPr>
          <w:rFonts w:ascii="David" w:hAnsi="David"/>
          <w:b/>
          <w:bCs/>
          <w:rtl/>
        </w:rPr>
      </w:pPr>
    </w:p>
    <w:p w:rsidR="00EA34E3" w:rsidRPr="003811BD" w:rsidRDefault="00EA34E3" w:rsidP="003811BD">
      <w:pPr>
        <w:pStyle w:val="ad"/>
        <w:numPr>
          <w:ilvl w:val="0"/>
          <w:numId w:val="2"/>
        </w:numPr>
        <w:spacing w:line="360" w:lineRule="auto"/>
        <w:jc w:val="both"/>
        <w:rPr>
          <w:rFonts w:ascii="David" w:hAnsi="David"/>
        </w:rPr>
      </w:pPr>
      <w:r>
        <w:rPr>
          <w:rFonts w:ascii="David" w:hAnsi="David"/>
          <w:b/>
          <w:bCs/>
          <w:u w:val="single"/>
          <w:rtl/>
        </w:rPr>
        <w:t>לטענת התובעת</w:t>
      </w:r>
      <w:r>
        <w:rPr>
          <w:rFonts w:ascii="David" w:hAnsi="David"/>
          <w:rtl/>
        </w:rPr>
        <w:t xml:space="preserve"> בשנת 1999, הנתבע העביר לה ללא תמורה את זכויותיו במקרקעין, אותן רכש מהנתבע 2 בשטח של 150 מ"ר המהווים 150/81112 מכלל הזכויות במקרקעין, וזאת באמצעות </w:t>
      </w:r>
      <w:r w:rsidR="008F5830">
        <w:rPr>
          <w:rFonts w:ascii="David" w:hAnsi="David" w:hint="cs"/>
          <w:rtl/>
        </w:rPr>
        <w:t>ח</w:t>
      </w:r>
      <w:r>
        <w:rPr>
          <w:rFonts w:ascii="David" w:hAnsi="David"/>
          <w:rtl/>
        </w:rPr>
        <w:t>תימה על ייפוי</w:t>
      </w:r>
      <w:r w:rsidR="003811BD">
        <w:rPr>
          <w:rFonts w:ascii="David" w:hAnsi="David"/>
          <w:rtl/>
        </w:rPr>
        <w:t xml:space="preserve"> כח בלתי חוזר. העסקה דווחה לרשות המיסים, </w:t>
      </w:r>
      <w:r w:rsidR="003811BD">
        <w:rPr>
          <w:rFonts w:ascii="David" w:hAnsi="David" w:hint="cs"/>
          <w:rtl/>
        </w:rPr>
        <w:t>ו</w:t>
      </w:r>
      <w:r w:rsidR="003811BD">
        <w:rPr>
          <w:rFonts w:ascii="David" w:hAnsi="David"/>
          <w:rtl/>
        </w:rPr>
        <w:t>ה</w:t>
      </w:r>
      <w:r w:rsidR="003811BD">
        <w:rPr>
          <w:rFonts w:ascii="David" w:hAnsi="David" w:hint="cs"/>
          <w:rtl/>
        </w:rPr>
        <w:t>י</w:t>
      </w:r>
      <w:r>
        <w:rPr>
          <w:rFonts w:ascii="David" w:hAnsi="David"/>
          <w:rtl/>
        </w:rPr>
        <w:t>א נשאה במיסים שחלו. מאוחר יותר, שילמה לוועדה המקומית היטל השבחה עבור המקרקעין.</w:t>
      </w:r>
      <w:r w:rsidR="003811BD">
        <w:rPr>
          <w:rFonts w:ascii="David" w:hAnsi="David"/>
        </w:rPr>
        <w:t xml:space="preserve"> </w:t>
      </w:r>
      <w:r w:rsidRPr="003811BD">
        <w:rPr>
          <w:rFonts w:ascii="David" w:hAnsi="David"/>
          <w:rtl/>
        </w:rPr>
        <w:t>ואולם, בעקבות מחדלו של הנתבע שלא רשם את זכויתיו בלשכת רישום המקרקעין, היא מנועה מלהשלים את ה</w:t>
      </w:r>
      <w:r w:rsidR="003811BD">
        <w:rPr>
          <w:rFonts w:ascii="David" w:hAnsi="David"/>
          <w:rtl/>
        </w:rPr>
        <w:t xml:space="preserve">עסקה אגב רישום הזכויות </w:t>
      </w:r>
      <w:r w:rsidRPr="003811BD">
        <w:rPr>
          <w:rFonts w:ascii="David" w:hAnsi="David"/>
          <w:rtl/>
        </w:rPr>
        <w:t xml:space="preserve">על שמה. מכאן, לדידה, הנתבע נוהג בחוסר תום לב עת הוא מסרב להשלים את הרישום. </w:t>
      </w:r>
    </w:p>
    <w:p w:rsidR="00EA34E3" w:rsidRPr="00B05F68" w:rsidRDefault="00EA34E3" w:rsidP="00B05F68">
      <w:pPr>
        <w:jc w:val="both"/>
        <w:rPr>
          <w:rFonts w:ascii="David" w:hAnsi="David"/>
        </w:rPr>
      </w:pPr>
    </w:p>
    <w:p w:rsidR="00EA34E3" w:rsidRDefault="00B05F68" w:rsidP="00EA34E3">
      <w:pPr>
        <w:pStyle w:val="ad"/>
        <w:numPr>
          <w:ilvl w:val="0"/>
          <w:numId w:val="2"/>
        </w:numPr>
        <w:spacing w:line="360" w:lineRule="auto"/>
        <w:jc w:val="both"/>
        <w:rPr>
          <w:rFonts w:ascii="David" w:hAnsi="David"/>
        </w:rPr>
      </w:pPr>
      <w:r>
        <w:rPr>
          <w:rFonts w:ascii="David" w:hAnsi="David" w:hint="cs"/>
          <w:rtl/>
        </w:rPr>
        <w:t xml:space="preserve">התובעת סבורה כי בעניינו מתקיים מעשה בית דין בשאלת תוקפו של ייפוי הכח העומד בבסיסי העסקה הנטענת, שכן בין הצדדים </w:t>
      </w:r>
      <w:r w:rsidR="00EA34E3">
        <w:rPr>
          <w:rFonts w:ascii="David" w:hAnsi="David"/>
          <w:rtl/>
        </w:rPr>
        <w:t xml:space="preserve"> התנהלו הליכים משפטיים קודמים (ת"א 4923-05-13;  4789-02-20) מסגרתם ניתנו החלטות ח</w:t>
      </w:r>
      <w:r>
        <w:rPr>
          <w:rFonts w:ascii="David" w:hAnsi="David"/>
          <w:rtl/>
        </w:rPr>
        <w:t>לוטות שהינן בבחינת מעשה בית דין</w:t>
      </w:r>
      <w:r w:rsidR="00EA34E3">
        <w:rPr>
          <w:rFonts w:ascii="David" w:hAnsi="David"/>
          <w:rtl/>
        </w:rPr>
        <w:t xml:space="preserve">. מכאן, אין מקום לחזור ולדון בטענות אלה במסגרת הליך זה, שכן נוצר השתק.  </w:t>
      </w:r>
    </w:p>
    <w:p w:rsidR="00B05F68" w:rsidRPr="00B05F68" w:rsidRDefault="00B05F68" w:rsidP="00B05F68">
      <w:pPr>
        <w:pStyle w:val="ad"/>
        <w:rPr>
          <w:rFonts w:ascii="David" w:hAnsi="David"/>
          <w:rtl/>
        </w:rPr>
      </w:pPr>
    </w:p>
    <w:p w:rsidR="00B05F68" w:rsidRDefault="00B05F68" w:rsidP="00B05F68">
      <w:pPr>
        <w:pStyle w:val="ad"/>
        <w:numPr>
          <w:ilvl w:val="0"/>
          <w:numId w:val="2"/>
        </w:numPr>
        <w:spacing w:line="360" w:lineRule="auto"/>
        <w:jc w:val="both"/>
        <w:rPr>
          <w:rFonts w:ascii="David" w:hAnsi="David"/>
        </w:rPr>
      </w:pPr>
      <w:r>
        <w:rPr>
          <w:rFonts w:ascii="David" w:hAnsi="David"/>
          <w:rtl/>
        </w:rPr>
        <w:t>לעניין ההסכמה הדיונית גורסת שלאור טענתה למעשה בית דין</w:t>
      </w:r>
      <w:r>
        <w:rPr>
          <w:rFonts w:ascii="David" w:hAnsi="David" w:hint="cs"/>
          <w:rtl/>
        </w:rPr>
        <w:t xml:space="preserve"> </w:t>
      </w:r>
      <w:r>
        <w:rPr>
          <w:rFonts w:ascii="David" w:hAnsi="David"/>
          <w:rtl/>
        </w:rPr>
        <w:t xml:space="preserve">בדבר אמיתות יפוי הכח, שמורה לה הזכות לחזור בה מההסכמה הדיונית למינוי מומחה. </w:t>
      </w:r>
    </w:p>
    <w:p w:rsidR="00EA34E3" w:rsidRPr="00B05F68" w:rsidRDefault="00EA34E3" w:rsidP="00B05F68">
      <w:pPr>
        <w:jc w:val="both"/>
        <w:rPr>
          <w:rFonts w:ascii="David" w:hAnsi="David"/>
        </w:rPr>
      </w:pPr>
    </w:p>
    <w:p w:rsidR="00EA34E3" w:rsidRDefault="00EA34E3" w:rsidP="00D01B8C">
      <w:pPr>
        <w:pStyle w:val="ad"/>
        <w:numPr>
          <w:ilvl w:val="0"/>
          <w:numId w:val="2"/>
        </w:numPr>
        <w:spacing w:line="360" w:lineRule="auto"/>
        <w:jc w:val="both"/>
        <w:rPr>
          <w:rFonts w:ascii="David" w:hAnsi="David"/>
        </w:rPr>
      </w:pPr>
      <w:r>
        <w:rPr>
          <w:rFonts w:ascii="David" w:hAnsi="David"/>
          <w:rtl/>
        </w:rPr>
        <w:t xml:space="preserve">מנגד, </w:t>
      </w:r>
      <w:r>
        <w:rPr>
          <w:rFonts w:ascii="David" w:hAnsi="David"/>
          <w:b/>
          <w:bCs/>
          <w:u w:val="single"/>
          <w:rtl/>
        </w:rPr>
        <w:t>טוען  הנתבע</w:t>
      </w:r>
      <w:r>
        <w:rPr>
          <w:rFonts w:ascii="David" w:hAnsi="David"/>
          <w:b/>
          <w:bCs/>
          <w:rtl/>
        </w:rPr>
        <w:t xml:space="preserve"> </w:t>
      </w:r>
      <w:r>
        <w:rPr>
          <w:rFonts w:ascii="David" w:hAnsi="David"/>
          <w:rtl/>
        </w:rPr>
        <w:t>שהתובעת מנסה בכל דרך אפשרית להתעשר על חשבונו, כאשר כל פעולותיה נבעות מ</w:t>
      </w:r>
      <w:r w:rsidR="003811BD">
        <w:rPr>
          <w:rFonts w:ascii="David" w:hAnsi="David"/>
          <w:rtl/>
        </w:rPr>
        <w:t xml:space="preserve">תחושות קנאה ותאוות בצע. </w:t>
      </w:r>
      <w:r w:rsidR="003811BD">
        <w:rPr>
          <w:rFonts w:ascii="David" w:hAnsi="David" w:hint="cs"/>
          <w:rtl/>
        </w:rPr>
        <w:t xml:space="preserve">לגרסתו, </w:t>
      </w:r>
      <w:r>
        <w:rPr>
          <w:rFonts w:ascii="David" w:hAnsi="David"/>
          <w:rtl/>
        </w:rPr>
        <w:t xml:space="preserve"> בשנת 2005 נערך הסכם מ</w:t>
      </w:r>
      <w:r w:rsidR="003811BD">
        <w:rPr>
          <w:rFonts w:ascii="David" w:hAnsi="David"/>
          <w:rtl/>
        </w:rPr>
        <w:t>כר ראשון</w:t>
      </w:r>
      <w:r w:rsidR="003811BD">
        <w:rPr>
          <w:rFonts w:ascii="David" w:hAnsi="David" w:hint="cs"/>
          <w:rtl/>
        </w:rPr>
        <w:t xml:space="preserve"> בינו לבין</w:t>
      </w:r>
      <w:r>
        <w:rPr>
          <w:rFonts w:ascii="David" w:hAnsi="David"/>
          <w:rtl/>
        </w:rPr>
        <w:t xml:space="preserve"> </w:t>
      </w:r>
      <w:r w:rsidR="00D01B8C">
        <w:rPr>
          <w:rFonts w:ascii="David" w:hAnsi="David" w:hint="cs"/>
          <w:rtl/>
        </w:rPr>
        <w:t xml:space="preserve">א.מ.ס. </w:t>
      </w:r>
      <w:r w:rsidR="003811BD">
        <w:rPr>
          <w:rFonts w:ascii="David" w:hAnsi="David"/>
          <w:rtl/>
        </w:rPr>
        <w:t xml:space="preserve">ומר </w:t>
      </w:r>
      <w:r w:rsidR="00D01B8C">
        <w:rPr>
          <w:rFonts w:ascii="David" w:hAnsi="David" w:hint="cs"/>
          <w:rtl/>
        </w:rPr>
        <w:t>ע.פ</w:t>
      </w:r>
      <w:r w:rsidR="003811BD">
        <w:rPr>
          <w:rFonts w:ascii="David" w:hAnsi="David"/>
          <w:rtl/>
        </w:rPr>
        <w:t>,</w:t>
      </w:r>
      <w:r w:rsidR="003811BD">
        <w:rPr>
          <w:rFonts w:ascii="David" w:hAnsi="David" w:hint="cs"/>
          <w:rtl/>
        </w:rPr>
        <w:t xml:space="preserve"> </w:t>
      </w:r>
      <w:r>
        <w:rPr>
          <w:rFonts w:ascii="David" w:hAnsi="David"/>
          <w:rtl/>
        </w:rPr>
        <w:t>לרכישת 1,000 מ"ר</w:t>
      </w:r>
      <w:r w:rsidR="003811BD">
        <w:rPr>
          <w:rFonts w:ascii="David" w:hAnsi="David" w:hint="cs"/>
          <w:rtl/>
        </w:rPr>
        <w:t xml:space="preserve"> מהמקרקעין</w:t>
      </w:r>
      <w:r>
        <w:rPr>
          <w:rFonts w:ascii="David" w:hAnsi="David"/>
          <w:rtl/>
        </w:rPr>
        <w:t>. בין הצ</w:t>
      </w:r>
      <w:r w:rsidR="003811BD">
        <w:rPr>
          <w:rFonts w:ascii="David" w:hAnsi="David"/>
          <w:rtl/>
        </w:rPr>
        <w:t>דדים נתגלעה מחלוקת בשאלת התמורה</w:t>
      </w:r>
      <w:r w:rsidR="003811BD">
        <w:rPr>
          <w:rFonts w:ascii="David" w:hAnsi="David" w:hint="cs"/>
          <w:rtl/>
        </w:rPr>
        <w:t xml:space="preserve"> בעטיים</w:t>
      </w:r>
      <w:r w:rsidR="003811BD">
        <w:rPr>
          <w:rFonts w:ascii="David" w:hAnsi="David"/>
          <w:rtl/>
        </w:rPr>
        <w:t xml:space="preserve"> </w:t>
      </w:r>
      <w:r>
        <w:rPr>
          <w:rFonts w:ascii="David" w:hAnsi="David"/>
          <w:rtl/>
        </w:rPr>
        <w:t>התנהלו הליכים משפטיים, שאינם קשורים עם המחלוקת בהליך זה.</w:t>
      </w:r>
    </w:p>
    <w:p w:rsidR="00BD1B7F" w:rsidRPr="003811BD" w:rsidRDefault="00BD1B7F" w:rsidP="00BD1B7F">
      <w:pPr>
        <w:pStyle w:val="ad"/>
        <w:rPr>
          <w:rFonts w:ascii="David" w:hAnsi="David"/>
          <w:rtl/>
        </w:rPr>
      </w:pPr>
    </w:p>
    <w:p w:rsidR="00EA34E3" w:rsidRDefault="00EA34E3" w:rsidP="00EA34E3">
      <w:pPr>
        <w:pStyle w:val="ad"/>
        <w:numPr>
          <w:ilvl w:val="0"/>
          <w:numId w:val="2"/>
        </w:numPr>
        <w:spacing w:line="360" w:lineRule="auto"/>
        <w:jc w:val="both"/>
        <w:rPr>
          <w:rFonts w:ascii="David" w:hAnsi="David"/>
          <w:rtl/>
        </w:rPr>
      </w:pPr>
      <w:r>
        <w:rPr>
          <w:rFonts w:ascii="David" w:hAnsi="David"/>
          <w:rtl/>
        </w:rPr>
        <w:t>חתי</w:t>
      </w:r>
      <w:r w:rsidR="003811BD">
        <w:rPr>
          <w:rFonts w:ascii="David" w:hAnsi="David"/>
          <w:rtl/>
        </w:rPr>
        <w:t>מתו על גבי ייפוי הכח נשוא העסקה אותו צירפה התובעת</w:t>
      </w:r>
      <w:r>
        <w:rPr>
          <w:rFonts w:ascii="David" w:hAnsi="David"/>
          <w:rtl/>
        </w:rPr>
        <w:t xml:space="preserve"> מזוייף</w:t>
      </w:r>
      <w:r w:rsidR="003811BD">
        <w:rPr>
          <w:rFonts w:ascii="David" w:hAnsi="David" w:hint="cs"/>
          <w:rtl/>
        </w:rPr>
        <w:t>,</w:t>
      </w:r>
      <w:r>
        <w:rPr>
          <w:rFonts w:ascii="David" w:hAnsi="David"/>
          <w:rtl/>
        </w:rPr>
        <w:t xml:space="preserve"> וכך גם זוייפה חתימתו. בנוסף, עסקת המתנה לה טו</w:t>
      </w:r>
      <w:r w:rsidR="003811BD">
        <w:rPr>
          <w:rFonts w:ascii="David" w:hAnsi="David"/>
          <w:rtl/>
        </w:rPr>
        <w:t>ענת התובעת לא הושלמה ברישום</w:t>
      </w:r>
      <w:r w:rsidR="003811BD">
        <w:rPr>
          <w:rFonts w:ascii="David" w:hAnsi="David" w:hint="cs"/>
          <w:rtl/>
        </w:rPr>
        <w:t xml:space="preserve">, </w:t>
      </w:r>
      <w:r>
        <w:rPr>
          <w:rFonts w:ascii="David" w:hAnsi="David"/>
          <w:rtl/>
        </w:rPr>
        <w:t xml:space="preserve">דבר המלמד על חוסר גמירות הדעת מצדו, שכן בשום שלב לא התכוון להעניק במתנה את זכויותיו. </w:t>
      </w:r>
    </w:p>
    <w:p w:rsidR="00EA34E3" w:rsidRDefault="00EA34E3" w:rsidP="00B05F68">
      <w:pPr>
        <w:pStyle w:val="ad"/>
        <w:jc w:val="both"/>
        <w:rPr>
          <w:rFonts w:ascii="David" w:hAnsi="David"/>
          <w:rtl/>
        </w:rPr>
      </w:pPr>
    </w:p>
    <w:p w:rsidR="00EA34E3" w:rsidRDefault="00EA34E3" w:rsidP="00EA34E3">
      <w:pPr>
        <w:pStyle w:val="ad"/>
        <w:numPr>
          <w:ilvl w:val="0"/>
          <w:numId w:val="2"/>
        </w:numPr>
        <w:spacing w:line="360" w:lineRule="auto"/>
        <w:jc w:val="both"/>
        <w:rPr>
          <w:rFonts w:ascii="David" w:hAnsi="David"/>
          <w:rtl/>
        </w:rPr>
      </w:pPr>
      <w:r>
        <w:rPr>
          <w:rFonts w:ascii="David" w:hAnsi="David"/>
          <w:rtl/>
        </w:rPr>
        <w:t>מבלי לפגוע באמור, סבור שגם באם תתקבל טענת התובעת ולפיה חתם על יפוי הכח, הרי שאין בהוראותיו בכדי להעניק לה את הזכויות במתנה כי אם ליתן הרשאה לעורכי הדין המפורטים</w:t>
      </w:r>
      <w:r w:rsidR="003811BD">
        <w:rPr>
          <w:rFonts w:ascii="David" w:hAnsi="David" w:hint="cs"/>
          <w:rtl/>
        </w:rPr>
        <w:t xml:space="preserve"> בייפוי הכח,</w:t>
      </w:r>
      <w:r>
        <w:rPr>
          <w:rFonts w:ascii="David" w:hAnsi="David"/>
          <w:rtl/>
        </w:rPr>
        <w:t xml:space="preserve"> לבצע פעולות במקרקעין לפי חוק השליחות. </w:t>
      </w:r>
    </w:p>
    <w:p w:rsidR="00EA34E3" w:rsidRDefault="00EA34E3" w:rsidP="00EA34E3">
      <w:pPr>
        <w:pStyle w:val="ad"/>
        <w:rPr>
          <w:rFonts w:ascii="David" w:hAnsi="David"/>
        </w:rPr>
      </w:pPr>
    </w:p>
    <w:p w:rsidR="00EA34E3" w:rsidRDefault="003811BD" w:rsidP="00D01B8C">
      <w:pPr>
        <w:pStyle w:val="ad"/>
        <w:numPr>
          <w:ilvl w:val="0"/>
          <w:numId w:val="2"/>
        </w:numPr>
        <w:spacing w:line="360" w:lineRule="auto"/>
        <w:jc w:val="both"/>
        <w:rPr>
          <w:rFonts w:ascii="David" w:hAnsi="David"/>
        </w:rPr>
      </w:pPr>
      <w:r>
        <w:rPr>
          <w:rFonts w:ascii="David" w:hAnsi="David"/>
          <w:rtl/>
        </w:rPr>
        <w:lastRenderedPageBreak/>
        <w:t>עת עומד</w:t>
      </w:r>
      <w:r w:rsidR="00EA34E3">
        <w:rPr>
          <w:rFonts w:ascii="David" w:hAnsi="David"/>
          <w:rtl/>
        </w:rPr>
        <w:t xml:space="preserve"> על טענתו לפיה ח</w:t>
      </w:r>
      <w:r>
        <w:rPr>
          <w:rFonts w:ascii="David" w:hAnsi="David"/>
          <w:rtl/>
        </w:rPr>
        <w:t xml:space="preserve">תימתו זוייפה, נדרשת הכרעה </w:t>
      </w:r>
      <w:r>
        <w:rPr>
          <w:rFonts w:ascii="David" w:hAnsi="David" w:hint="cs"/>
          <w:rtl/>
        </w:rPr>
        <w:t>בשאלת</w:t>
      </w:r>
      <w:r w:rsidR="00EA34E3">
        <w:rPr>
          <w:rFonts w:ascii="David" w:hAnsi="David"/>
          <w:rtl/>
        </w:rPr>
        <w:t xml:space="preserve"> תוקפו של ייפוי הכח</w:t>
      </w:r>
      <w:r>
        <w:rPr>
          <w:rFonts w:ascii="David" w:hAnsi="David" w:hint="cs"/>
          <w:rtl/>
        </w:rPr>
        <w:t>,</w:t>
      </w:r>
      <w:r w:rsidR="00EA34E3">
        <w:rPr>
          <w:rFonts w:ascii="David" w:hAnsi="David"/>
          <w:rtl/>
        </w:rPr>
        <w:t xml:space="preserve"> ובנסיבות אלה אין להתיר לתובעת לחזור בה מההסכמה הדיונית למינוי מומחה.</w:t>
      </w:r>
      <w:r w:rsidR="00916E56">
        <w:rPr>
          <w:rFonts w:ascii="David" w:hAnsi="David" w:hint="cs"/>
          <w:rtl/>
        </w:rPr>
        <w:t xml:space="preserve"> עוד טוען שקבלת התובעת יביא לבזבוז זמן שיפוטי. </w:t>
      </w:r>
      <w:r w:rsidR="00EA34E3">
        <w:rPr>
          <w:rFonts w:ascii="David" w:hAnsi="David"/>
          <w:rtl/>
        </w:rPr>
        <w:t>משכך, לאור סמכותו ש</w:t>
      </w:r>
      <w:r>
        <w:rPr>
          <w:rFonts w:ascii="David" w:hAnsi="David"/>
          <w:rtl/>
        </w:rPr>
        <w:t xml:space="preserve">ל בית המשפט למנות מומחה </w:t>
      </w:r>
      <w:r w:rsidR="00EA34E3">
        <w:rPr>
          <w:rFonts w:ascii="David" w:hAnsi="David"/>
          <w:rtl/>
        </w:rPr>
        <w:t>גם בהעדר אישור הצדדים</w:t>
      </w:r>
      <w:r>
        <w:rPr>
          <w:rFonts w:ascii="David" w:hAnsi="David" w:hint="cs"/>
          <w:rtl/>
        </w:rPr>
        <w:t xml:space="preserve">, וזאת </w:t>
      </w:r>
      <w:r w:rsidR="00EA34E3">
        <w:rPr>
          <w:rFonts w:ascii="David" w:hAnsi="David"/>
          <w:rtl/>
        </w:rPr>
        <w:t xml:space="preserve"> כקבוע  בסעיף 25 לתקסד"א וסעיף 75 לחוק בתי המשפט, אין להיעתר לבקשת התובעת לחזור בה מהסכמה הדיונית אליה הגיעה. </w:t>
      </w:r>
    </w:p>
    <w:p w:rsidR="00EA34E3" w:rsidRDefault="00EA34E3" w:rsidP="00EA34E3">
      <w:pPr>
        <w:pStyle w:val="ad"/>
        <w:rPr>
          <w:rFonts w:ascii="David" w:hAnsi="David"/>
          <w:rtl/>
        </w:rPr>
      </w:pPr>
    </w:p>
    <w:p w:rsidR="00EA34E3" w:rsidRDefault="00EA34E3" w:rsidP="00EA34E3">
      <w:pPr>
        <w:pStyle w:val="ad"/>
        <w:numPr>
          <w:ilvl w:val="0"/>
          <w:numId w:val="2"/>
        </w:numPr>
        <w:spacing w:line="360" w:lineRule="auto"/>
        <w:jc w:val="both"/>
        <w:rPr>
          <w:rFonts w:ascii="David" w:hAnsi="David"/>
        </w:rPr>
      </w:pPr>
      <w:r>
        <w:rPr>
          <w:rFonts w:ascii="David" w:hAnsi="David"/>
          <w:rtl/>
        </w:rPr>
        <w:t xml:space="preserve">לעניין טענות התובעת בדבר מעשה בית דין גורס </w:t>
      </w:r>
      <w:r w:rsidR="00424247">
        <w:rPr>
          <w:rFonts w:ascii="David" w:hAnsi="David" w:hint="cs"/>
          <w:rtl/>
        </w:rPr>
        <w:t xml:space="preserve">שטענת הזיוף לא נדונה, ובנוסף, לא היה </w:t>
      </w:r>
      <w:r>
        <w:rPr>
          <w:rFonts w:ascii="David" w:hAnsi="David"/>
          <w:rtl/>
        </w:rPr>
        <w:t xml:space="preserve"> צד להליכים אליהם מפנה התובעת. </w:t>
      </w:r>
    </w:p>
    <w:p w:rsidR="00EA34E3" w:rsidRDefault="00EA34E3" w:rsidP="00B05F68">
      <w:pPr>
        <w:pStyle w:val="ad"/>
        <w:jc w:val="both"/>
        <w:rPr>
          <w:rFonts w:ascii="David" w:hAnsi="David"/>
          <w:rtl/>
        </w:rPr>
      </w:pPr>
    </w:p>
    <w:p w:rsidR="00EA34E3" w:rsidRDefault="00EA34E3" w:rsidP="00BD1B7F">
      <w:pPr>
        <w:tabs>
          <w:tab w:val="left" w:pos="1800"/>
        </w:tabs>
        <w:spacing w:line="360" w:lineRule="auto"/>
        <w:jc w:val="both"/>
        <w:rPr>
          <w:rFonts w:ascii="David" w:hAnsi="David"/>
          <w:sz w:val="28"/>
          <w:szCs w:val="28"/>
          <w:rtl/>
        </w:rPr>
      </w:pPr>
      <w:r>
        <w:rPr>
          <w:rFonts w:ascii="David" w:hAnsi="David"/>
          <w:b/>
          <w:bCs/>
          <w:sz w:val="28"/>
          <w:szCs w:val="28"/>
          <w:u w:val="single"/>
          <w:rtl/>
        </w:rPr>
        <w:t>דיון והכרעה;</w:t>
      </w:r>
      <w:r w:rsidR="00BD1B7F">
        <w:rPr>
          <w:rFonts w:ascii="David" w:hAnsi="David"/>
          <w:sz w:val="28"/>
          <w:szCs w:val="28"/>
          <w:rtl/>
        </w:rPr>
        <w:tab/>
      </w:r>
    </w:p>
    <w:p w:rsidR="00BD1B7F" w:rsidRDefault="00BD1B7F" w:rsidP="00BD1B7F">
      <w:pPr>
        <w:tabs>
          <w:tab w:val="left" w:pos="1800"/>
        </w:tabs>
        <w:jc w:val="both"/>
        <w:rPr>
          <w:rFonts w:ascii="David" w:hAnsi="David"/>
          <w:sz w:val="28"/>
          <w:szCs w:val="28"/>
          <w:rtl/>
        </w:rPr>
      </w:pPr>
    </w:p>
    <w:p w:rsidR="0003619E" w:rsidRDefault="0003619E" w:rsidP="00EA34E3">
      <w:pPr>
        <w:spacing w:line="360" w:lineRule="auto"/>
        <w:jc w:val="both"/>
        <w:rPr>
          <w:rFonts w:ascii="David" w:hAnsi="David"/>
          <w:rtl/>
        </w:rPr>
      </w:pPr>
      <w:r w:rsidRPr="0003619E">
        <w:rPr>
          <w:rFonts w:ascii="David" w:hAnsi="David" w:hint="cs"/>
          <w:rtl/>
        </w:rPr>
        <w:t>לאחר שעיינתי בבקשה ובתגובה, ונתתי דעתי לההחלטות שניתנו במסגרת ההליכים</w:t>
      </w:r>
      <w:r>
        <w:rPr>
          <w:rFonts w:ascii="David" w:hAnsi="David" w:hint="cs"/>
          <w:sz w:val="28"/>
          <w:szCs w:val="28"/>
          <w:rtl/>
        </w:rPr>
        <w:t xml:space="preserve"> </w:t>
      </w:r>
      <w:r w:rsidRPr="00424247">
        <w:rPr>
          <w:rFonts w:ascii="David" w:hAnsi="David"/>
          <w:rtl/>
        </w:rPr>
        <w:t>הנוספים, כמו</w:t>
      </w:r>
      <w:r>
        <w:rPr>
          <w:rFonts w:ascii="David" w:hAnsi="David" w:hint="cs"/>
          <w:sz w:val="28"/>
          <w:szCs w:val="28"/>
          <w:rtl/>
        </w:rPr>
        <w:t xml:space="preserve"> </w:t>
      </w:r>
      <w:r w:rsidRPr="0003619E">
        <w:rPr>
          <w:rFonts w:ascii="David" w:hAnsi="David" w:hint="cs"/>
          <w:rtl/>
        </w:rPr>
        <w:t xml:space="preserve">גם להוראות הדין, מצאתי כי דין הבקשה להידחות. ואסביר. </w:t>
      </w:r>
    </w:p>
    <w:p w:rsidR="00946020" w:rsidRDefault="00946020" w:rsidP="00B05F68">
      <w:pPr>
        <w:jc w:val="both"/>
        <w:rPr>
          <w:rFonts w:ascii="David" w:hAnsi="David"/>
          <w:rtl/>
        </w:rPr>
      </w:pPr>
    </w:p>
    <w:p w:rsidR="00946020" w:rsidRPr="00946020" w:rsidRDefault="00946020" w:rsidP="00EA34E3">
      <w:pPr>
        <w:spacing w:line="360" w:lineRule="auto"/>
        <w:jc w:val="both"/>
        <w:rPr>
          <w:rFonts w:ascii="David" w:hAnsi="David"/>
          <w:u w:val="single"/>
        </w:rPr>
      </w:pPr>
      <w:r w:rsidRPr="00946020">
        <w:rPr>
          <w:rFonts w:ascii="David" w:hAnsi="David" w:hint="cs"/>
          <w:u w:val="single"/>
          <w:rtl/>
        </w:rPr>
        <w:t>המתווה הנורמטיבי:</w:t>
      </w:r>
    </w:p>
    <w:p w:rsidR="00EA34E3" w:rsidRDefault="00EA34E3" w:rsidP="00B05F68">
      <w:pPr>
        <w:pStyle w:val="ad"/>
        <w:jc w:val="both"/>
        <w:rPr>
          <w:rFonts w:ascii="David" w:hAnsi="David"/>
          <w:rtl/>
        </w:rPr>
      </w:pPr>
    </w:p>
    <w:p w:rsidR="00EA34E3" w:rsidRDefault="00EA34E3" w:rsidP="00EA34E3">
      <w:pPr>
        <w:pStyle w:val="ad"/>
        <w:numPr>
          <w:ilvl w:val="0"/>
          <w:numId w:val="2"/>
        </w:numPr>
        <w:spacing w:line="360" w:lineRule="auto"/>
        <w:jc w:val="both"/>
        <w:rPr>
          <w:rFonts w:ascii="David" w:hAnsi="David"/>
          <w:rtl/>
        </w:rPr>
      </w:pPr>
      <w:r>
        <w:rPr>
          <w:rFonts w:ascii="David" w:hAnsi="David"/>
          <w:rtl/>
        </w:rPr>
        <w:t xml:space="preserve"> </w:t>
      </w:r>
      <w:r w:rsidR="0003619E">
        <w:rPr>
          <w:rFonts w:ascii="David" w:hAnsi="David" w:hint="cs"/>
          <w:rtl/>
        </w:rPr>
        <w:t xml:space="preserve">כידוע, </w:t>
      </w:r>
      <w:r>
        <w:rPr>
          <w:rFonts w:ascii="David" w:hAnsi="David"/>
          <w:b/>
          <w:bCs/>
          <w:rtl/>
        </w:rPr>
        <w:t xml:space="preserve">"מעשה בית דין הוא כלל שיפוטי הגיוני ומעשי שנועד למנוע התדיינויות חוזרות בין הצדדים והטרדת בעל הדין שכנגד ולמנוע מעמסה מיותרת על בתי המשפט. פיתוחו של הכלל מצוי בספרות ובפסיקה, אך ניתן למצוא לו עקבות אף בחקיקה (ראו סעיפים 21 ו- 23 לחוק הבוררות; תקנות 46-44, ו- 101 לתקנות סדר הדין האזרחי, תשמ"ד-1984). "מעשה בית דין" מסתעף לשתי דוקטרינות עיקריות: </w:t>
      </w:r>
      <w:r>
        <w:rPr>
          <w:rFonts w:ascii="David" w:hAnsi="David"/>
          <w:b/>
          <w:bCs/>
          <w:u w:val="single"/>
          <w:rtl/>
        </w:rPr>
        <w:t>השתק פלוגתא</w:t>
      </w:r>
      <w:r>
        <w:rPr>
          <w:rFonts w:ascii="David" w:hAnsi="David"/>
          <w:b/>
          <w:bCs/>
          <w:rtl/>
        </w:rPr>
        <w:t xml:space="preserve"> המונע מהצדדים לשוב ולהעלות טענה עובדתית שהוכרעה במשפט הראשון ביניהם, </w:t>
      </w:r>
      <w:r>
        <w:rPr>
          <w:rFonts w:ascii="David" w:hAnsi="David"/>
          <w:b/>
          <w:bCs/>
          <w:u w:val="single"/>
          <w:rtl/>
        </w:rPr>
        <w:t>והשתק עילה</w:t>
      </w:r>
      <w:r>
        <w:rPr>
          <w:rFonts w:ascii="David" w:hAnsi="David"/>
          <w:b/>
          <w:bCs/>
          <w:rtl/>
        </w:rPr>
        <w:t xml:space="preserve"> היוצר מחסום בפני בעלי דין לשוב ולהתדיין באותו עניין שהיתה לגביו הכרעה שיפוטית </w:t>
      </w:r>
      <w:r>
        <w:rPr>
          <w:rFonts w:ascii="David" w:hAnsi="David"/>
          <w:rtl/>
        </w:rPr>
        <w:t xml:space="preserve">(ע"א 303/79 </w:t>
      </w:r>
      <w:r>
        <w:rPr>
          <w:rFonts w:ascii="David" w:hAnsi="David"/>
          <w:b/>
          <w:bCs/>
          <w:rtl/>
        </w:rPr>
        <w:t>אבני נ' גליקסמן</w:t>
      </w:r>
      <w:r>
        <w:rPr>
          <w:rFonts w:ascii="David" w:hAnsi="David"/>
          <w:rtl/>
        </w:rPr>
        <w:t xml:space="preserve">, פ"ד לה(1) 92 (1980))" (ע"א 2634/09 </w:t>
      </w:r>
      <w:r>
        <w:rPr>
          <w:rFonts w:ascii="David" w:hAnsi="David"/>
          <w:b/>
          <w:bCs/>
          <w:rtl/>
        </w:rPr>
        <w:t>רוטנברג נ' אלגו</w:t>
      </w:r>
      <w:r>
        <w:rPr>
          <w:rFonts w:ascii="David" w:hAnsi="David"/>
          <w:rtl/>
        </w:rPr>
        <w:t>, עמ' 15 (פורסם במאגרים) (6.1.11)).</w:t>
      </w:r>
    </w:p>
    <w:p w:rsidR="00EA34E3" w:rsidRDefault="00EA34E3" w:rsidP="00B05F68">
      <w:pPr>
        <w:pStyle w:val="ad"/>
        <w:jc w:val="both"/>
        <w:rPr>
          <w:rFonts w:ascii="David" w:hAnsi="David"/>
          <w:rtl/>
        </w:rPr>
      </w:pPr>
    </w:p>
    <w:p w:rsidR="00EA34E3" w:rsidRDefault="0003619E" w:rsidP="00EA34E3">
      <w:pPr>
        <w:pStyle w:val="ad"/>
        <w:numPr>
          <w:ilvl w:val="0"/>
          <w:numId w:val="2"/>
        </w:numPr>
        <w:spacing w:line="360" w:lineRule="auto"/>
        <w:jc w:val="both"/>
        <w:rPr>
          <w:rFonts w:ascii="David" w:hAnsi="David"/>
        </w:rPr>
      </w:pPr>
      <w:r>
        <w:rPr>
          <w:rFonts w:ascii="David" w:hAnsi="David"/>
          <w:rtl/>
        </w:rPr>
        <w:t>המבחן</w:t>
      </w:r>
      <w:r w:rsidR="00EA34E3">
        <w:rPr>
          <w:rFonts w:ascii="David" w:hAnsi="David"/>
          <w:rtl/>
        </w:rPr>
        <w:t xml:space="preserve"> </w:t>
      </w:r>
      <w:r w:rsidR="00424247">
        <w:rPr>
          <w:rFonts w:ascii="David" w:hAnsi="David"/>
          <w:rtl/>
        </w:rPr>
        <w:t>באם קיים מעשה בית דין הינו</w:t>
      </w:r>
      <w:r w:rsidR="00424247">
        <w:rPr>
          <w:rFonts w:ascii="David" w:hAnsi="David" w:hint="cs"/>
          <w:rtl/>
        </w:rPr>
        <w:t xml:space="preserve"> </w:t>
      </w:r>
      <w:r w:rsidR="00EA34E3">
        <w:rPr>
          <w:rFonts w:ascii="David" w:hAnsi="David"/>
          <w:rtl/>
        </w:rPr>
        <w:t xml:space="preserve">מבחן זהות העילה ולא מבחן זהות הסעד. מבחן זה רחב יותר בשל השיקול הקובע שלא מן הדין להטריד את הנתבע בתביעות רבות בשל אותו מעשה ((א. גורן, </w:t>
      </w:r>
      <w:r w:rsidR="00EA34E3">
        <w:rPr>
          <w:rFonts w:ascii="David" w:hAnsi="David"/>
          <w:b/>
          <w:bCs/>
          <w:rtl/>
        </w:rPr>
        <w:t>סוגיות בסדר דין אזרחי</w:t>
      </w:r>
      <w:r w:rsidR="00EA34E3">
        <w:rPr>
          <w:rFonts w:ascii="David" w:hAnsi="David"/>
          <w:rtl/>
        </w:rPr>
        <w:t xml:space="preserve">, מהדורה 12, (2015) בעמ' 176). ההלכה הפסוקה תמכה בכלל </w:t>
      </w:r>
      <w:r>
        <w:rPr>
          <w:rFonts w:ascii="David" w:hAnsi="David"/>
          <w:b/>
          <w:bCs/>
          <w:rtl/>
        </w:rPr>
        <w:t>"</w:t>
      </w:r>
      <w:r w:rsidR="00EA34E3" w:rsidRPr="0003619E">
        <w:rPr>
          <w:rFonts w:ascii="David" w:hAnsi="David"/>
          <w:rtl/>
        </w:rPr>
        <w:t>היבלעות או המחסום של העילה</w:t>
      </w:r>
      <w:r w:rsidR="00EA34E3">
        <w:rPr>
          <w:rFonts w:ascii="David" w:hAnsi="David"/>
          <w:b/>
          <w:bCs/>
          <w:rtl/>
        </w:rPr>
        <w:t>"</w:t>
      </w:r>
      <w:r w:rsidR="00EA34E3">
        <w:rPr>
          <w:rFonts w:ascii="David" w:hAnsi="David"/>
          <w:rtl/>
        </w:rPr>
        <w:t xml:space="preserve"> לצרכי הכרעה בשאלת קיומו של מעשה בית דין. "</w:t>
      </w:r>
      <w:r w:rsidR="00EA34E3">
        <w:rPr>
          <w:rFonts w:ascii="David" w:hAnsi="David"/>
          <w:b/>
          <w:bCs/>
          <w:rtl/>
        </w:rPr>
        <w:t>...מקום שתביעה נדונה לגופה והוכרעה על-ידי בית-משפט מוסמך, שוב אסור להיזקק לתביעה נוספת בין אותם צדדים או חליפיהם, אם זו מבוססת על עילה זהה. במקרה כזה, אם במשפט הראשון זכה התובע בדין, כי אז אומרים שעילת תביעתו שם 'נבלעה'... בפסק-הדין, אשר הכיר בזכותו ובא במקום העילה, שאיננה עוד... וכן, אם במשפט הראשון זכה הנתבע בדין, אזי אומרים שקם מחסום... המשתיק את התובע מלחזור על תביעה שניה המבוססת על אותה עילה, בחינת היותה חסומה או מושתקת..."</w:t>
      </w:r>
      <w:r w:rsidR="00EA34E3">
        <w:rPr>
          <w:rFonts w:ascii="David" w:hAnsi="David"/>
          <w:rtl/>
        </w:rPr>
        <w:t xml:space="preserve"> (ע"א 246/66 </w:t>
      </w:r>
      <w:r w:rsidR="00EA34E3">
        <w:rPr>
          <w:rFonts w:ascii="David" w:hAnsi="David"/>
          <w:b/>
          <w:bCs/>
          <w:rtl/>
        </w:rPr>
        <w:t>קלוז'נר נ' שמעוני</w:t>
      </w:r>
      <w:r w:rsidR="00EA34E3">
        <w:rPr>
          <w:rFonts w:ascii="David" w:hAnsi="David"/>
          <w:rtl/>
        </w:rPr>
        <w:t xml:space="preserve">, פ"ד כב(2) 561, בעמ' 584-583 מפי הנשיא אגרנט וכן ראו רע"א 6830/00 </w:t>
      </w:r>
      <w:r w:rsidR="00EA34E3">
        <w:rPr>
          <w:rFonts w:ascii="David" w:hAnsi="David"/>
          <w:b/>
          <w:bCs/>
          <w:rtl/>
        </w:rPr>
        <w:t>ברנוביץ' נ' תאומים</w:t>
      </w:r>
      <w:r w:rsidR="00EA34E3">
        <w:rPr>
          <w:rFonts w:ascii="David" w:hAnsi="David"/>
          <w:rtl/>
        </w:rPr>
        <w:t xml:space="preserve">, פ"ד נד(5) 691). </w:t>
      </w:r>
    </w:p>
    <w:p w:rsidR="00EA34E3" w:rsidRPr="0003619E" w:rsidRDefault="00EA34E3" w:rsidP="00EA34E3">
      <w:pPr>
        <w:spacing w:line="360" w:lineRule="auto"/>
        <w:jc w:val="both"/>
        <w:rPr>
          <w:rFonts w:ascii="David" w:hAnsi="David"/>
        </w:rPr>
      </w:pPr>
    </w:p>
    <w:p w:rsidR="00EA34E3" w:rsidRDefault="00EA34E3" w:rsidP="00EA34E3">
      <w:pPr>
        <w:pStyle w:val="ad"/>
        <w:numPr>
          <w:ilvl w:val="0"/>
          <w:numId w:val="2"/>
        </w:numPr>
        <w:spacing w:line="360" w:lineRule="auto"/>
        <w:jc w:val="both"/>
        <w:rPr>
          <w:rFonts w:ascii="David" w:hAnsi="David"/>
          <w:rtl/>
        </w:rPr>
      </w:pPr>
      <w:r>
        <w:rPr>
          <w:rFonts w:ascii="David" w:hAnsi="David"/>
          <w:rtl/>
        </w:rPr>
        <w:lastRenderedPageBreak/>
        <w:t xml:space="preserve">בחינת זהות העילה לצרכי יישום הכלל בדבר "השתק עילה" מחייבת השוואה של רכיבי התביעות הנבחנות, אף אם מדובר בסעדים שונים (ע"א 54/87 </w:t>
      </w:r>
      <w:r>
        <w:rPr>
          <w:rFonts w:ascii="David" w:hAnsi="David"/>
          <w:b/>
          <w:bCs/>
          <w:rtl/>
        </w:rPr>
        <w:t>אמגר חברה לשיווק נ'</w:t>
      </w:r>
      <w:r>
        <w:rPr>
          <w:rFonts w:ascii="David" w:hAnsi="David"/>
          <w:rtl/>
        </w:rPr>
        <w:t xml:space="preserve"> </w:t>
      </w:r>
      <w:r>
        <w:rPr>
          <w:rFonts w:ascii="David" w:hAnsi="David"/>
          <w:b/>
          <w:bCs/>
          <w:rtl/>
        </w:rPr>
        <w:t>ק.י.מ.א להשקעות</w:t>
      </w:r>
      <w:r>
        <w:rPr>
          <w:rFonts w:ascii="David" w:hAnsi="David"/>
          <w:rtl/>
        </w:rPr>
        <w:t>, פ"ד מג(2) 347, 353). מכאן, על מ</w:t>
      </w:r>
      <w:r w:rsidR="00946020">
        <w:rPr>
          <w:rFonts w:ascii="David" w:hAnsi="David"/>
          <w:rtl/>
        </w:rPr>
        <w:t>נת לקבוע אם קיימת זהות בין מערכ</w:t>
      </w:r>
      <w:r>
        <w:rPr>
          <w:rFonts w:ascii="David" w:hAnsi="David"/>
          <w:rtl/>
        </w:rPr>
        <w:t xml:space="preserve">ת העובדות בשני ההליכים יש לבחון את כתבי-התביעה. לעניין זה לא  חייבת להיות זהות מוחלטת ביניהם, אלא השאלה באם היה בידי התובע לרכז בתובענה הראשונה את כל טענותיו הנוגעות למעשה הנטען (נ. זלצמן, </w:t>
      </w:r>
      <w:r>
        <w:rPr>
          <w:rFonts w:ascii="David" w:hAnsi="David"/>
          <w:b/>
          <w:bCs/>
          <w:rtl/>
        </w:rPr>
        <w:t>מעשה בית דין בהליך האזרחי</w:t>
      </w:r>
      <w:r>
        <w:rPr>
          <w:rFonts w:ascii="David" w:hAnsi="David"/>
          <w:rtl/>
        </w:rPr>
        <w:t xml:space="preserve"> בעמ' 50 לספרה לעיל והלכת קלוז'נר הנזכרת לעיל). </w:t>
      </w:r>
    </w:p>
    <w:p w:rsidR="00946020" w:rsidRDefault="00946020" w:rsidP="00B05F68">
      <w:pPr>
        <w:jc w:val="both"/>
        <w:rPr>
          <w:rFonts w:ascii="David" w:hAnsi="David"/>
          <w:rtl/>
        </w:rPr>
      </w:pPr>
    </w:p>
    <w:p w:rsidR="00EA34E3" w:rsidRPr="00946020" w:rsidRDefault="00946020" w:rsidP="00EA34E3">
      <w:pPr>
        <w:spacing w:line="360" w:lineRule="auto"/>
        <w:jc w:val="both"/>
        <w:rPr>
          <w:rFonts w:ascii="David" w:hAnsi="David"/>
          <w:u w:val="single"/>
        </w:rPr>
      </w:pPr>
      <w:r w:rsidRPr="00946020">
        <w:rPr>
          <w:rFonts w:ascii="David" w:hAnsi="David" w:hint="cs"/>
          <w:u w:val="single"/>
          <w:rtl/>
        </w:rPr>
        <w:t>ומן הדין אל בעלי הדין:</w:t>
      </w:r>
    </w:p>
    <w:p w:rsidR="00946020" w:rsidRDefault="00946020" w:rsidP="00EA34E3">
      <w:pPr>
        <w:spacing w:line="360" w:lineRule="auto"/>
        <w:jc w:val="both"/>
        <w:rPr>
          <w:rFonts w:ascii="David" w:hAnsi="David"/>
          <w:b/>
          <w:bCs/>
          <w:rtl/>
        </w:rPr>
      </w:pPr>
    </w:p>
    <w:p w:rsidR="00EA34E3" w:rsidRDefault="00EA34E3" w:rsidP="00D01B8C">
      <w:pPr>
        <w:pStyle w:val="ad"/>
        <w:numPr>
          <w:ilvl w:val="0"/>
          <w:numId w:val="2"/>
        </w:numPr>
        <w:spacing w:line="360" w:lineRule="auto"/>
        <w:jc w:val="both"/>
        <w:rPr>
          <w:rFonts w:ascii="David" w:hAnsi="David"/>
          <w:rtl/>
        </w:rPr>
      </w:pPr>
      <w:r>
        <w:rPr>
          <w:rFonts w:ascii="David" w:hAnsi="David"/>
          <w:rtl/>
        </w:rPr>
        <w:t>עיון בכתבי</w:t>
      </w:r>
      <w:r w:rsidR="00BC2000">
        <w:rPr>
          <w:rFonts w:ascii="David" w:hAnsi="David"/>
          <w:rtl/>
        </w:rPr>
        <w:t xml:space="preserve"> הטענות בערכאות השונות</w:t>
      </w:r>
      <w:r w:rsidR="00946020">
        <w:rPr>
          <w:rFonts w:ascii="David" w:hAnsi="David"/>
          <w:rtl/>
        </w:rPr>
        <w:t xml:space="preserve"> מלמד </w:t>
      </w:r>
      <w:r w:rsidR="00946020">
        <w:rPr>
          <w:rFonts w:ascii="David" w:hAnsi="David" w:hint="cs"/>
          <w:rtl/>
        </w:rPr>
        <w:t>ש</w:t>
      </w:r>
      <w:r>
        <w:rPr>
          <w:rFonts w:ascii="David" w:hAnsi="David"/>
          <w:rtl/>
        </w:rPr>
        <w:t>לא הייתה ה</w:t>
      </w:r>
      <w:r w:rsidR="00B05F68">
        <w:rPr>
          <w:rFonts w:ascii="David" w:hAnsi="David"/>
          <w:rtl/>
        </w:rPr>
        <w:t xml:space="preserve">תייחסות ספציפית לגופו של עניין </w:t>
      </w:r>
      <w:r>
        <w:rPr>
          <w:rFonts w:ascii="David" w:hAnsi="David"/>
          <w:rtl/>
        </w:rPr>
        <w:t>לטענת הזיוף</w:t>
      </w:r>
      <w:r w:rsidR="00946020">
        <w:rPr>
          <w:rFonts w:ascii="David" w:hAnsi="David" w:hint="cs"/>
          <w:rtl/>
        </w:rPr>
        <w:t xml:space="preserve"> לה ט</w:t>
      </w:r>
      <w:r w:rsidR="00B05F68">
        <w:rPr>
          <w:rFonts w:ascii="David" w:hAnsi="David" w:hint="cs"/>
          <w:rtl/>
        </w:rPr>
        <w:t>ו</w:t>
      </w:r>
      <w:r w:rsidR="00946020">
        <w:rPr>
          <w:rFonts w:ascii="David" w:hAnsi="David" w:hint="cs"/>
          <w:rtl/>
        </w:rPr>
        <w:t>ען הנתבע;</w:t>
      </w:r>
      <w:r w:rsidR="00946020">
        <w:rPr>
          <w:rFonts w:ascii="David" w:hAnsi="David"/>
          <w:rtl/>
        </w:rPr>
        <w:t xml:space="preserve"> אכן, </w:t>
      </w:r>
      <w:r w:rsidR="00946020">
        <w:rPr>
          <w:rFonts w:ascii="David" w:hAnsi="David" w:hint="cs"/>
          <w:rtl/>
        </w:rPr>
        <w:t>מחלוקת זו</w:t>
      </w:r>
      <w:r>
        <w:rPr>
          <w:rFonts w:ascii="David" w:hAnsi="David"/>
          <w:rtl/>
        </w:rPr>
        <w:t xml:space="preserve"> מצאה את מקומה בהליכים</w:t>
      </w:r>
      <w:r w:rsidR="00B05F68">
        <w:rPr>
          <w:rFonts w:ascii="David" w:hAnsi="David" w:hint="cs"/>
          <w:rtl/>
        </w:rPr>
        <w:t xml:space="preserve"> הקודמים</w:t>
      </w:r>
      <w:r w:rsidR="00946020">
        <w:rPr>
          <w:rFonts w:ascii="David" w:hAnsi="David" w:hint="cs"/>
          <w:rtl/>
        </w:rPr>
        <w:t>,</w:t>
      </w:r>
      <w:r>
        <w:rPr>
          <w:rFonts w:ascii="David" w:hAnsi="David"/>
          <w:rtl/>
        </w:rPr>
        <w:t xml:space="preserve"> אך זאת אגב התייחסות מינורית וצדדית שלא ירדה לשורשו של העניין. בניגוד לנטען על ידי התובעת (ראה בין היתר סעיפים 19-20 לתגובתה מיום 23.</w:t>
      </w:r>
      <w:r w:rsidR="00BC2000">
        <w:rPr>
          <w:rFonts w:ascii="David" w:hAnsi="David"/>
          <w:rtl/>
        </w:rPr>
        <w:t>12.20), סוגי</w:t>
      </w:r>
      <w:r w:rsidR="00BC2000">
        <w:rPr>
          <w:rFonts w:ascii="David" w:hAnsi="David" w:hint="cs"/>
          <w:rtl/>
        </w:rPr>
        <w:t>ו</w:t>
      </w:r>
      <w:r w:rsidR="00BC2000">
        <w:rPr>
          <w:rFonts w:ascii="David" w:hAnsi="David"/>
          <w:rtl/>
        </w:rPr>
        <w:t>ת עסקת המתנה ו</w:t>
      </w:r>
      <w:r>
        <w:rPr>
          <w:rFonts w:ascii="David" w:hAnsi="David"/>
          <w:rtl/>
        </w:rPr>
        <w:t xml:space="preserve">זיוף יפוי הכח </w:t>
      </w:r>
      <w:r w:rsidR="00BC2000">
        <w:rPr>
          <w:rFonts w:ascii="David" w:hAnsi="David" w:hint="cs"/>
          <w:rtl/>
        </w:rPr>
        <w:t>ה</w:t>
      </w:r>
      <w:r>
        <w:rPr>
          <w:rFonts w:ascii="David" w:hAnsi="David"/>
          <w:rtl/>
        </w:rPr>
        <w:t>בלתי חוזר נדונו באופן כללי. בהחלטת בית ה</w:t>
      </w:r>
      <w:r w:rsidR="00DD0513">
        <w:rPr>
          <w:rFonts w:ascii="David" w:hAnsi="David"/>
          <w:rtl/>
        </w:rPr>
        <w:t xml:space="preserve">משפט המחוזי בתיק ת"א </w:t>
      </w:r>
      <w:r w:rsidR="00DD0513">
        <w:rPr>
          <w:rFonts w:ascii="David" w:hAnsi="David" w:hint="cs"/>
          <w:rtl/>
        </w:rPr>
        <w:t xml:space="preserve">*** </w:t>
      </w:r>
      <w:r>
        <w:rPr>
          <w:rFonts w:ascii="David" w:hAnsi="David"/>
          <w:rtl/>
        </w:rPr>
        <w:t xml:space="preserve">נפסק כי </w:t>
      </w:r>
      <w:r>
        <w:rPr>
          <w:rFonts w:ascii="David" w:hAnsi="David"/>
          <w:b/>
          <w:bCs/>
          <w:rtl/>
        </w:rPr>
        <w:t xml:space="preserve">" לא עלה בידי התובע להוכיח את </w:t>
      </w:r>
      <w:r w:rsidR="00BC2000">
        <w:rPr>
          <w:rFonts w:ascii="David" w:hAnsi="David"/>
          <w:b/>
          <w:bCs/>
          <w:rtl/>
        </w:rPr>
        <w:t>תביעתו, והיא נדחית. בנסיבות דנן</w:t>
      </w:r>
      <w:r>
        <w:rPr>
          <w:rFonts w:ascii="David" w:hAnsi="David"/>
          <w:b/>
          <w:bCs/>
          <w:rtl/>
        </w:rPr>
        <w:t>, לא ראיתי להתייחס לטענות שה</w:t>
      </w:r>
      <w:r w:rsidR="00BC2000">
        <w:rPr>
          <w:rFonts w:ascii="David" w:hAnsi="David"/>
          <w:b/>
          <w:bCs/>
          <w:rtl/>
        </w:rPr>
        <w:t xml:space="preserve">עלתה </w:t>
      </w:r>
      <w:r w:rsidR="00D01B8C">
        <w:rPr>
          <w:rFonts w:ascii="David" w:hAnsi="David" w:hint="cs"/>
          <w:b/>
          <w:bCs/>
          <w:rtl/>
        </w:rPr>
        <w:t xml:space="preserve">ג'. </w:t>
      </w:r>
      <w:r w:rsidR="00BC2000">
        <w:rPr>
          <w:rFonts w:ascii="David" w:hAnsi="David"/>
          <w:b/>
          <w:bCs/>
          <w:rtl/>
        </w:rPr>
        <w:t>בעני</w:t>
      </w:r>
      <w:r w:rsidR="009B133F">
        <w:rPr>
          <w:rFonts w:ascii="David" w:hAnsi="David"/>
          <w:b/>
          <w:bCs/>
          <w:rtl/>
        </w:rPr>
        <w:t>ין המתנה,</w:t>
      </w:r>
      <w:r w:rsidR="00D01B8C">
        <w:rPr>
          <w:rFonts w:ascii="David" w:hAnsi="David" w:hint="cs"/>
          <w:b/>
          <w:bCs/>
          <w:rtl/>
        </w:rPr>
        <w:t xml:space="preserve"> </w:t>
      </w:r>
      <w:r w:rsidR="00BC2000">
        <w:rPr>
          <w:rFonts w:ascii="David" w:hAnsi="David"/>
          <w:b/>
          <w:bCs/>
          <w:rtl/>
        </w:rPr>
        <w:t>כשמ</w:t>
      </w:r>
      <w:r w:rsidR="00B92744">
        <w:rPr>
          <w:rFonts w:ascii="David" w:hAnsi="David" w:hint="cs"/>
          <w:b/>
          <w:bCs/>
          <w:rtl/>
        </w:rPr>
        <w:t>מ</w:t>
      </w:r>
      <w:r w:rsidR="00946020">
        <w:rPr>
          <w:rFonts w:ascii="David" w:hAnsi="David"/>
          <w:b/>
          <w:bCs/>
          <w:rtl/>
        </w:rPr>
        <w:t>ילא נקבע בפסק דין שאושר בעליון</w:t>
      </w:r>
      <w:r w:rsidR="00946020">
        <w:rPr>
          <w:rFonts w:ascii="David" w:hAnsi="David" w:hint="cs"/>
          <w:b/>
          <w:bCs/>
          <w:rtl/>
        </w:rPr>
        <w:t>,</w:t>
      </w:r>
      <w:r>
        <w:rPr>
          <w:rFonts w:ascii="David" w:hAnsi="David"/>
          <w:b/>
          <w:bCs/>
          <w:rtl/>
        </w:rPr>
        <w:t xml:space="preserve"> כי בתחרות בין שתי העסקאות גוברת העסקה של הנתבעים 1-7 ביחס ל-1000 מ"ר."</w:t>
      </w:r>
    </w:p>
    <w:p w:rsidR="00EA34E3" w:rsidRDefault="00EA34E3" w:rsidP="009C379A">
      <w:pPr>
        <w:pStyle w:val="ad"/>
        <w:jc w:val="both"/>
        <w:rPr>
          <w:rFonts w:ascii="David" w:hAnsi="David"/>
          <w:b/>
          <w:bCs/>
        </w:rPr>
      </w:pPr>
    </w:p>
    <w:p w:rsidR="00EA34E3" w:rsidRDefault="00EA34E3" w:rsidP="00EA34E3">
      <w:pPr>
        <w:pStyle w:val="ad"/>
        <w:numPr>
          <w:ilvl w:val="0"/>
          <w:numId w:val="2"/>
        </w:numPr>
        <w:spacing w:line="360" w:lineRule="auto"/>
        <w:jc w:val="both"/>
        <w:rPr>
          <w:rFonts w:ascii="David" w:hAnsi="David"/>
          <w:rtl/>
        </w:rPr>
      </w:pPr>
      <w:r>
        <w:rPr>
          <w:rFonts w:ascii="David" w:hAnsi="David"/>
          <w:rtl/>
        </w:rPr>
        <w:t>גם עיון בפסק הדין של בית משפ</w:t>
      </w:r>
      <w:r w:rsidR="00946020">
        <w:rPr>
          <w:rFonts w:ascii="David" w:hAnsi="David"/>
          <w:rtl/>
        </w:rPr>
        <w:t xml:space="preserve">ט העליון בהליך לו הנתבע לא היה </w:t>
      </w:r>
      <w:r>
        <w:rPr>
          <w:rFonts w:ascii="David" w:hAnsi="David"/>
          <w:rtl/>
        </w:rPr>
        <w:t>צד</w:t>
      </w:r>
      <w:r w:rsidR="00BC2000">
        <w:rPr>
          <w:rFonts w:ascii="David" w:hAnsi="David"/>
          <w:rtl/>
        </w:rPr>
        <w:t xml:space="preserve">, מלמד שטענות  הנתבע לא </w:t>
      </w:r>
      <w:r w:rsidR="00BC2000">
        <w:rPr>
          <w:rFonts w:ascii="David" w:hAnsi="David" w:hint="cs"/>
          <w:rtl/>
        </w:rPr>
        <w:t>נבחנו לגופן</w:t>
      </w:r>
      <w:r>
        <w:rPr>
          <w:rFonts w:ascii="David" w:hAnsi="David"/>
          <w:rtl/>
        </w:rPr>
        <w:t xml:space="preserve">, אלא שוב, כפועל יוצא ממסכת העובדות. וכך נפסק: </w:t>
      </w:r>
      <w:r>
        <w:rPr>
          <w:rFonts w:ascii="David" w:hAnsi="David"/>
          <w:b/>
          <w:bCs/>
          <w:rtl/>
        </w:rPr>
        <w:t xml:space="preserve"> "הצענו כי התוצאה בפסק הדין קמא תשתנה במובן זה שיוצהר כי השטח של 150 מ"ר יועבר למערערת. לגבי השטח של 1,000 מ"ר יחול פסק הדין קמא. המשיבים השאירו לשיקול דעת. המערערת נתנה הסכמתה. אין בכל </w:t>
      </w:r>
      <w:r w:rsidR="00B92744">
        <w:rPr>
          <w:rFonts w:ascii="David" w:hAnsi="David" w:hint="cs"/>
          <w:b/>
          <w:bCs/>
          <w:rtl/>
        </w:rPr>
        <w:t xml:space="preserve"> האמור ל</w:t>
      </w:r>
      <w:r>
        <w:rPr>
          <w:rFonts w:ascii="David" w:hAnsi="David"/>
          <w:b/>
          <w:bCs/>
          <w:rtl/>
        </w:rPr>
        <w:t>הביע דעה לגבי ההליך המתנהל בבית המ</w:t>
      </w:r>
      <w:r w:rsidR="00DD0513">
        <w:rPr>
          <w:rFonts w:ascii="David" w:hAnsi="David"/>
          <w:b/>
          <w:bCs/>
          <w:rtl/>
        </w:rPr>
        <w:t xml:space="preserve">שפט המחוזי בחיפה בת"א </w:t>
      </w:r>
      <w:r w:rsidR="00DD0513">
        <w:rPr>
          <w:rFonts w:ascii="David" w:hAnsi="David" w:hint="cs"/>
          <w:b/>
          <w:bCs/>
          <w:rtl/>
        </w:rPr>
        <w:t>***</w:t>
      </w:r>
      <w:r>
        <w:rPr>
          <w:rFonts w:ascii="David" w:hAnsi="David"/>
          <w:b/>
          <w:bCs/>
          <w:rtl/>
        </w:rPr>
        <w:t>). "</w:t>
      </w:r>
    </w:p>
    <w:p w:rsidR="00EA34E3" w:rsidRDefault="00EA34E3" w:rsidP="00EA34E3">
      <w:pPr>
        <w:pStyle w:val="ad"/>
        <w:rPr>
          <w:rFonts w:ascii="David" w:hAnsi="David"/>
        </w:rPr>
      </w:pPr>
    </w:p>
    <w:p w:rsidR="00EA34E3" w:rsidRPr="00BD1B7F" w:rsidRDefault="004B6825" w:rsidP="00D01B8C">
      <w:pPr>
        <w:pStyle w:val="ad"/>
        <w:numPr>
          <w:ilvl w:val="0"/>
          <w:numId w:val="2"/>
        </w:numPr>
        <w:spacing w:line="360" w:lineRule="auto"/>
        <w:jc w:val="both"/>
        <w:rPr>
          <w:rFonts w:ascii="David" w:hAnsi="David"/>
        </w:rPr>
      </w:pPr>
      <w:r>
        <w:rPr>
          <w:rFonts w:ascii="David" w:hAnsi="David" w:hint="cs"/>
          <w:rtl/>
        </w:rPr>
        <w:t xml:space="preserve">בנוסף; </w:t>
      </w:r>
      <w:r w:rsidR="00EA34E3">
        <w:rPr>
          <w:rFonts w:ascii="David" w:hAnsi="David"/>
          <w:rtl/>
        </w:rPr>
        <w:t>בפסק הדין שניתן ע"י בית המשפ</w:t>
      </w:r>
      <w:r w:rsidR="00DD0513">
        <w:rPr>
          <w:rFonts w:ascii="David" w:hAnsi="David"/>
          <w:rtl/>
        </w:rPr>
        <w:t xml:space="preserve">ט המחוזי בת"א </w:t>
      </w:r>
      <w:r w:rsidR="00DD0513">
        <w:rPr>
          <w:rFonts w:ascii="David" w:hAnsi="David" w:hint="cs"/>
          <w:rtl/>
        </w:rPr>
        <w:t>***</w:t>
      </w:r>
      <w:r w:rsidR="00BA11F0">
        <w:rPr>
          <w:rFonts w:ascii="David" w:hAnsi="David"/>
          <w:rtl/>
        </w:rPr>
        <w:t xml:space="preserve"> (שם התובעת היתה נתבעת</w:t>
      </w:r>
      <w:r w:rsidR="00EA34E3">
        <w:rPr>
          <w:rFonts w:ascii="David" w:hAnsi="David"/>
          <w:rtl/>
        </w:rPr>
        <w:t xml:space="preserve">, והתובעים היו </w:t>
      </w:r>
      <w:r w:rsidR="00D01B8C">
        <w:rPr>
          <w:rFonts w:ascii="David" w:hAnsi="David" w:hint="cs"/>
          <w:rtl/>
        </w:rPr>
        <w:t xml:space="preserve">א.מ.ס. </w:t>
      </w:r>
      <w:r w:rsidR="00EA34E3">
        <w:rPr>
          <w:rFonts w:ascii="David" w:hAnsi="David"/>
          <w:rtl/>
        </w:rPr>
        <w:t>ו</w:t>
      </w:r>
      <w:r w:rsidR="00D01B8C">
        <w:rPr>
          <w:rFonts w:ascii="David" w:hAnsi="David" w:hint="cs"/>
          <w:rtl/>
        </w:rPr>
        <w:t xml:space="preserve">ע.פ.ע </w:t>
      </w:r>
      <w:r w:rsidR="00EA34E3">
        <w:rPr>
          <w:rFonts w:ascii="David" w:hAnsi="David"/>
          <w:rtl/>
        </w:rPr>
        <w:t>)</w:t>
      </w:r>
      <w:r>
        <w:rPr>
          <w:rFonts w:ascii="David" w:hAnsi="David" w:hint="cs"/>
          <w:rtl/>
        </w:rPr>
        <w:t>,</w:t>
      </w:r>
      <w:r w:rsidR="00EA34E3">
        <w:rPr>
          <w:rFonts w:ascii="David" w:hAnsi="David"/>
          <w:rtl/>
        </w:rPr>
        <w:t xml:space="preserve"> </w:t>
      </w:r>
      <w:r w:rsidR="00EA34E3">
        <w:rPr>
          <w:rFonts w:ascii="David" w:hAnsi="David"/>
          <w:b/>
          <w:bCs/>
          <w:rtl/>
        </w:rPr>
        <w:t xml:space="preserve"> </w:t>
      </w:r>
      <w:r w:rsidR="00EA34E3" w:rsidRPr="00BA11F0">
        <w:rPr>
          <w:rFonts w:ascii="David" w:hAnsi="David"/>
          <w:rtl/>
        </w:rPr>
        <w:t>לא היתה התייחסות לעניין תוקפו של ייפוי הכח  אלא לע</w:t>
      </w:r>
      <w:r w:rsidR="000351A4">
        <w:rPr>
          <w:rFonts w:ascii="David" w:hAnsi="David"/>
          <w:rtl/>
        </w:rPr>
        <w:t>ניין נפקותו.</w:t>
      </w:r>
      <w:r w:rsidR="000351A4">
        <w:rPr>
          <w:rFonts w:ascii="David" w:hAnsi="David" w:hint="cs"/>
          <w:rtl/>
        </w:rPr>
        <w:t xml:space="preserve"> </w:t>
      </w:r>
      <w:r w:rsidR="000351A4" w:rsidRPr="000351A4">
        <w:rPr>
          <w:rFonts w:ascii="David" w:hAnsi="David"/>
          <w:b/>
          <w:bCs/>
          <w:rtl/>
        </w:rPr>
        <w:t xml:space="preserve"> </w:t>
      </w:r>
      <w:r w:rsidR="000351A4" w:rsidRPr="00BD1B7F">
        <w:rPr>
          <w:rFonts w:ascii="David" w:hAnsi="David"/>
          <w:rtl/>
        </w:rPr>
        <w:t>ב</w:t>
      </w:r>
      <w:r w:rsidR="000351A4" w:rsidRPr="00BD1B7F">
        <w:rPr>
          <w:rFonts w:ascii="David" w:hAnsi="David" w:hint="cs"/>
          <w:rtl/>
        </w:rPr>
        <w:t xml:space="preserve">מסגרת פס"ד נקבע בין היתר שגם באם </w:t>
      </w:r>
      <w:r w:rsidR="00BC2000">
        <w:rPr>
          <w:rFonts w:ascii="David" w:hAnsi="David" w:hint="cs"/>
          <w:rtl/>
        </w:rPr>
        <w:t>י</w:t>
      </w:r>
      <w:r w:rsidR="000351A4" w:rsidRPr="00BD1B7F">
        <w:rPr>
          <w:rFonts w:ascii="David" w:hAnsi="David"/>
          <w:rtl/>
        </w:rPr>
        <w:t xml:space="preserve">קבע </w:t>
      </w:r>
      <w:r w:rsidR="000351A4" w:rsidRPr="00BD1B7F">
        <w:rPr>
          <w:rFonts w:ascii="David" w:hAnsi="David" w:hint="cs"/>
          <w:rtl/>
        </w:rPr>
        <w:t>ש</w:t>
      </w:r>
      <w:r w:rsidR="000351A4" w:rsidRPr="00BD1B7F">
        <w:rPr>
          <w:rFonts w:ascii="David" w:hAnsi="David"/>
          <w:rtl/>
        </w:rPr>
        <w:t xml:space="preserve">יפוי הכח </w:t>
      </w:r>
      <w:r w:rsidR="000351A4" w:rsidRPr="00BD1B7F">
        <w:rPr>
          <w:rFonts w:ascii="David" w:hAnsi="David" w:hint="cs"/>
          <w:rtl/>
        </w:rPr>
        <w:t>נשוא העסקה, נחתם על ידי הנתבע, עדיין</w:t>
      </w:r>
      <w:r w:rsidR="00BC2000">
        <w:rPr>
          <w:rFonts w:ascii="David" w:hAnsi="David" w:hint="cs"/>
          <w:rtl/>
        </w:rPr>
        <w:t>,</w:t>
      </w:r>
      <w:r w:rsidR="000351A4" w:rsidRPr="00BD1B7F">
        <w:rPr>
          <w:rFonts w:ascii="David" w:hAnsi="David" w:hint="cs"/>
          <w:rtl/>
        </w:rPr>
        <w:t xml:space="preserve"> יהיה מקום להידרש לנפקותו ביחס לעסקה הנטענת ע"י התובעת</w:t>
      </w:r>
      <w:r w:rsidR="00BD1B7F" w:rsidRPr="00BD1B7F">
        <w:rPr>
          <w:rFonts w:ascii="David" w:hAnsi="David" w:hint="cs"/>
          <w:rtl/>
        </w:rPr>
        <w:t xml:space="preserve">.  </w:t>
      </w:r>
      <w:r w:rsidR="00BA11F0" w:rsidRPr="00BD1B7F">
        <w:rPr>
          <w:rFonts w:ascii="David" w:hAnsi="David" w:hint="cs"/>
          <w:rtl/>
        </w:rPr>
        <w:t>וכך נפסק:</w:t>
      </w:r>
    </w:p>
    <w:p w:rsidR="00EA34E3" w:rsidRPr="00BA11F0" w:rsidRDefault="00EA34E3" w:rsidP="00D01B8C">
      <w:pPr>
        <w:spacing w:line="360" w:lineRule="auto"/>
        <w:ind w:left="360"/>
        <w:jc w:val="both"/>
        <w:rPr>
          <w:rFonts w:ascii="David" w:hAnsi="David"/>
          <w:b/>
          <w:bCs/>
          <w:rtl/>
        </w:rPr>
      </w:pPr>
      <w:r w:rsidRPr="009C379A">
        <w:rPr>
          <w:rFonts w:ascii="David" w:hAnsi="David"/>
          <w:b/>
          <w:bCs/>
          <w:rtl/>
        </w:rPr>
        <w:t xml:space="preserve">"ביפוי כח עליו סומכת הנתבעת את טענותיה, הסמיך </w:t>
      </w:r>
      <w:r w:rsidR="00D01B8C">
        <w:rPr>
          <w:rFonts w:ascii="David" w:hAnsi="David" w:hint="cs"/>
          <w:b/>
          <w:bCs/>
          <w:rtl/>
        </w:rPr>
        <w:t xml:space="preserve">ג' </w:t>
      </w:r>
      <w:r w:rsidR="00DD0513">
        <w:rPr>
          <w:rFonts w:ascii="David" w:hAnsi="David"/>
          <w:b/>
          <w:bCs/>
          <w:rtl/>
        </w:rPr>
        <w:t xml:space="preserve">את כוחם של עוה"ד </w:t>
      </w:r>
      <w:r w:rsidR="00DD0513">
        <w:rPr>
          <w:rFonts w:ascii="David" w:hAnsi="David" w:hint="cs"/>
          <w:b/>
          <w:bCs/>
          <w:rtl/>
        </w:rPr>
        <w:t>***</w:t>
      </w:r>
      <w:r w:rsidRPr="009C379A">
        <w:rPr>
          <w:rFonts w:ascii="David" w:hAnsi="David"/>
          <w:b/>
          <w:bCs/>
          <w:rtl/>
        </w:rPr>
        <w:t xml:space="preserve"> "ו/או" אדם נוסף, </w:t>
      </w:r>
      <w:r w:rsidR="00D01B8C">
        <w:rPr>
          <w:rFonts w:ascii="David" w:hAnsi="David" w:hint="cs"/>
          <w:b/>
          <w:bCs/>
          <w:rtl/>
        </w:rPr>
        <w:t xml:space="preserve">ס.מ. </w:t>
      </w:r>
      <w:r w:rsidR="009C379A">
        <w:rPr>
          <w:rFonts w:ascii="David" w:hAnsi="David"/>
          <w:b/>
          <w:bCs/>
          <w:rtl/>
        </w:rPr>
        <w:t>שמו," למכור להעביר</w:t>
      </w:r>
      <w:r w:rsidRPr="009C379A">
        <w:rPr>
          <w:rFonts w:ascii="David" w:hAnsi="David"/>
          <w:b/>
          <w:bCs/>
          <w:rtl/>
        </w:rPr>
        <w:t xml:space="preserve">, </w:t>
      </w:r>
      <w:r w:rsidR="00B92744" w:rsidRPr="009C379A">
        <w:rPr>
          <w:rFonts w:ascii="David" w:hAnsi="David" w:hint="cs"/>
          <w:b/>
          <w:bCs/>
          <w:rtl/>
        </w:rPr>
        <w:t>ל</w:t>
      </w:r>
      <w:r w:rsidRPr="009C379A">
        <w:rPr>
          <w:rFonts w:ascii="David" w:hAnsi="David"/>
          <w:b/>
          <w:bCs/>
          <w:rtl/>
        </w:rPr>
        <w:t>השכיר, לה</w:t>
      </w:r>
      <w:r w:rsidR="00B92744" w:rsidRPr="009C379A">
        <w:rPr>
          <w:rFonts w:ascii="David" w:hAnsi="David" w:hint="cs"/>
          <w:b/>
          <w:bCs/>
          <w:rtl/>
        </w:rPr>
        <w:t>ח</w:t>
      </w:r>
      <w:r w:rsidR="009C379A">
        <w:rPr>
          <w:rFonts w:ascii="David" w:hAnsi="David"/>
          <w:b/>
          <w:bCs/>
          <w:rtl/>
        </w:rPr>
        <w:t>כיר</w:t>
      </w:r>
      <w:r w:rsidRPr="009C379A">
        <w:rPr>
          <w:rFonts w:ascii="David" w:hAnsi="David"/>
          <w:b/>
          <w:bCs/>
          <w:rtl/>
        </w:rPr>
        <w:t>, למכור ללא תמו</w:t>
      </w:r>
      <w:r w:rsidR="000351A4" w:rsidRPr="009C379A">
        <w:rPr>
          <w:rFonts w:ascii="David" w:hAnsi="David"/>
          <w:b/>
          <w:bCs/>
          <w:rtl/>
        </w:rPr>
        <w:t>רה" את זכויותיו במקרקעין לנתבעת</w:t>
      </w:r>
      <w:r w:rsidRPr="009C379A">
        <w:rPr>
          <w:rFonts w:ascii="David" w:hAnsi="David"/>
          <w:b/>
          <w:bCs/>
          <w:rtl/>
        </w:rPr>
        <w:t>.</w:t>
      </w:r>
      <w:r w:rsidRPr="00BA11F0">
        <w:rPr>
          <w:rFonts w:ascii="David" w:hAnsi="David"/>
          <w:b/>
          <w:bCs/>
          <w:rtl/>
        </w:rPr>
        <w:t xml:space="preserve"> אין ביפוי הכח הקניית הזכויות לנתבעת אלא נותן כוח להרשאה לשני אנשים לבצע פעולות שונות,</w:t>
      </w:r>
      <w:r w:rsidR="00AF17EE">
        <w:rPr>
          <w:rFonts w:ascii="David" w:hAnsi="David"/>
          <w:b/>
          <w:bCs/>
          <w:rtl/>
        </w:rPr>
        <w:t xml:space="preserve"> ובכלל הפעולות שהם מסמיכים לבצע</w:t>
      </w:r>
      <w:r w:rsidRPr="00BA11F0">
        <w:rPr>
          <w:rFonts w:ascii="David" w:hAnsi="David"/>
          <w:b/>
          <w:bCs/>
          <w:rtl/>
        </w:rPr>
        <w:t xml:space="preserve">, הם רשאים להקנות את הזכויות ללא תמורה לנתבעת". </w:t>
      </w:r>
    </w:p>
    <w:p w:rsidR="00BC2000" w:rsidRDefault="00BC2000" w:rsidP="00BD1B7F">
      <w:pPr>
        <w:spacing w:line="360" w:lineRule="auto"/>
        <w:ind w:left="360"/>
        <w:jc w:val="both"/>
        <w:rPr>
          <w:rFonts w:ascii="David" w:hAnsi="David"/>
          <w:b/>
          <w:bCs/>
          <w:rtl/>
        </w:rPr>
      </w:pPr>
      <w:r>
        <w:rPr>
          <w:rFonts w:ascii="David" w:hAnsi="David" w:hint="cs"/>
          <w:b/>
          <w:bCs/>
          <w:rtl/>
        </w:rPr>
        <w:t>...</w:t>
      </w:r>
    </w:p>
    <w:p w:rsidR="00BD1B7F" w:rsidRPr="00BD1B7F" w:rsidRDefault="00BC2000" w:rsidP="00D01B8C">
      <w:pPr>
        <w:spacing w:line="360" w:lineRule="auto"/>
        <w:ind w:left="360"/>
        <w:jc w:val="both"/>
        <w:rPr>
          <w:rFonts w:ascii="David" w:hAnsi="David"/>
          <w:b/>
          <w:bCs/>
          <w:rtl/>
        </w:rPr>
      </w:pPr>
      <w:r>
        <w:rPr>
          <w:rFonts w:ascii="David" w:hAnsi="David"/>
          <w:b/>
          <w:bCs/>
          <w:rtl/>
        </w:rPr>
        <w:t xml:space="preserve"> "אפשר וניתן ללמו</w:t>
      </w:r>
      <w:r>
        <w:rPr>
          <w:rFonts w:ascii="David" w:hAnsi="David" w:hint="cs"/>
          <w:b/>
          <w:bCs/>
          <w:rtl/>
        </w:rPr>
        <w:t>ד</w:t>
      </w:r>
      <w:r>
        <w:rPr>
          <w:rFonts w:ascii="David" w:hAnsi="David"/>
          <w:b/>
          <w:bCs/>
          <w:rtl/>
        </w:rPr>
        <w:t xml:space="preserve"> מיפוי הכ</w:t>
      </w:r>
      <w:r>
        <w:rPr>
          <w:rFonts w:ascii="David" w:hAnsi="David" w:hint="cs"/>
          <w:b/>
          <w:bCs/>
          <w:rtl/>
        </w:rPr>
        <w:t>ח</w:t>
      </w:r>
      <w:r w:rsidR="00EA34E3" w:rsidRPr="00BA11F0">
        <w:rPr>
          <w:rFonts w:ascii="David" w:hAnsi="David"/>
          <w:b/>
          <w:bCs/>
          <w:rtl/>
        </w:rPr>
        <w:t xml:space="preserve"> על כוונה כללית של </w:t>
      </w:r>
      <w:r w:rsidR="00D01B8C">
        <w:rPr>
          <w:rFonts w:ascii="David" w:hAnsi="David" w:hint="cs"/>
          <w:b/>
          <w:bCs/>
          <w:rtl/>
        </w:rPr>
        <w:t xml:space="preserve">ג' </w:t>
      </w:r>
      <w:r w:rsidR="00EA34E3" w:rsidRPr="00BA11F0">
        <w:rPr>
          <w:rFonts w:ascii="David" w:hAnsi="David"/>
          <w:b/>
          <w:bCs/>
          <w:rtl/>
        </w:rPr>
        <w:t xml:space="preserve">להקנות </w:t>
      </w:r>
      <w:r>
        <w:rPr>
          <w:rFonts w:ascii="David" w:hAnsi="David"/>
          <w:b/>
          <w:bCs/>
          <w:rtl/>
        </w:rPr>
        <w:t>את הזכויות במקרקעין, בדרך כלשהי</w:t>
      </w:r>
      <w:r w:rsidR="00EA34E3" w:rsidRPr="00BA11F0">
        <w:rPr>
          <w:rFonts w:ascii="David" w:hAnsi="David"/>
          <w:b/>
          <w:bCs/>
          <w:rtl/>
        </w:rPr>
        <w:t xml:space="preserve"> לנתבעת ואולם, נראה הדבר, כי לאחר שיפוי הכח נעשה, נו</w:t>
      </w:r>
      <w:r>
        <w:rPr>
          <w:rFonts w:ascii="David" w:hAnsi="David"/>
          <w:b/>
          <w:bCs/>
          <w:rtl/>
        </w:rPr>
        <w:t xml:space="preserve">תר יפוי הכח כאבן שאין לה </w:t>
      </w:r>
      <w:r>
        <w:rPr>
          <w:rFonts w:ascii="David" w:hAnsi="David"/>
          <w:b/>
          <w:bCs/>
          <w:rtl/>
        </w:rPr>
        <w:lastRenderedPageBreak/>
        <w:t>הופכין</w:t>
      </w:r>
      <w:r w:rsidR="00EA34E3" w:rsidRPr="00BA11F0">
        <w:rPr>
          <w:rFonts w:ascii="David" w:hAnsi="David"/>
          <w:b/>
          <w:bCs/>
          <w:rtl/>
        </w:rPr>
        <w:t xml:space="preserve">, והשלוחים שמונו ביפוי הכח לא פעלו במסגרת סמכותם להעביר לנתבעת את הזכויות במקרקעין, לא על דרך המכר ולא על דרך </w:t>
      </w:r>
      <w:r w:rsidR="00DD0513">
        <w:rPr>
          <w:rFonts w:ascii="David" w:hAnsi="David"/>
          <w:b/>
          <w:bCs/>
          <w:rtl/>
        </w:rPr>
        <w:t xml:space="preserve">הענתקתם במתנה." ( ראה </w:t>
      </w:r>
      <w:r w:rsidR="00DD0513">
        <w:rPr>
          <w:rFonts w:ascii="David" w:hAnsi="David" w:hint="cs"/>
          <w:b/>
          <w:bCs/>
          <w:rtl/>
        </w:rPr>
        <w:t>***</w:t>
      </w:r>
      <w:r w:rsidR="00EA34E3" w:rsidRPr="00BA11F0">
        <w:rPr>
          <w:rFonts w:ascii="David" w:hAnsi="David"/>
          <w:b/>
          <w:bCs/>
          <w:rtl/>
        </w:rPr>
        <w:t>ביהמ"ש מחוזי עמ' 5  פס' 4-13) .</w:t>
      </w:r>
    </w:p>
    <w:p w:rsidR="00BA11F0" w:rsidRDefault="00BD1B7F" w:rsidP="00BA11F0">
      <w:pPr>
        <w:pStyle w:val="ad"/>
        <w:spacing w:line="360" w:lineRule="auto"/>
        <w:ind w:left="360"/>
        <w:jc w:val="both"/>
        <w:rPr>
          <w:rFonts w:ascii="David" w:hAnsi="David"/>
          <w:i/>
          <w:iCs/>
          <w:rtl/>
        </w:rPr>
      </w:pPr>
      <w:r>
        <w:rPr>
          <w:rFonts w:ascii="David" w:hAnsi="David" w:hint="cs"/>
          <w:i/>
          <w:iCs/>
          <w:rtl/>
        </w:rPr>
        <w:t>....</w:t>
      </w:r>
    </w:p>
    <w:p w:rsidR="00EA34E3" w:rsidRPr="00BD1B7F" w:rsidRDefault="00916E56" w:rsidP="00D01B8C">
      <w:pPr>
        <w:pStyle w:val="ad"/>
        <w:spacing w:line="360" w:lineRule="auto"/>
        <w:ind w:left="360"/>
        <w:jc w:val="both"/>
        <w:rPr>
          <w:rFonts w:ascii="David" w:hAnsi="David"/>
          <w:b/>
          <w:bCs/>
        </w:rPr>
      </w:pPr>
      <w:r>
        <w:rPr>
          <w:rFonts w:ascii="David" w:hAnsi="David"/>
          <w:b/>
          <w:bCs/>
          <w:rtl/>
        </w:rPr>
        <w:t xml:space="preserve"> "במילים אחרות</w:t>
      </w:r>
      <w:r w:rsidR="00EA34E3" w:rsidRPr="00BD1B7F">
        <w:rPr>
          <w:rFonts w:ascii="David" w:hAnsi="David"/>
          <w:b/>
          <w:bCs/>
          <w:rtl/>
        </w:rPr>
        <w:t>, הכוונה הכללית שגולמה ביפוי הכח, היתה ונותרה כללית, ורק בחלוף חמש שנים וחצי מעת חתימת יפוי הכח, עשתה הנתבעת פעולה כלשהי, והיא מתן דיווח לרשויות מיסוי המקר</w:t>
      </w:r>
      <w:r w:rsidR="0058388E">
        <w:rPr>
          <w:rFonts w:ascii="David" w:hAnsi="David" w:hint="cs"/>
          <w:b/>
          <w:bCs/>
          <w:rtl/>
        </w:rPr>
        <w:t>ק</w:t>
      </w:r>
      <w:r w:rsidR="00EA34E3" w:rsidRPr="00BD1B7F">
        <w:rPr>
          <w:rFonts w:ascii="David" w:hAnsi="David"/>
          <w:b/>
          <w:bCs/>
          <w:rtl/>
        </w:rPr>
        <w:t>עין. ואולם, גם אז עדיין לא נחתם כל מסמך, בין אם על ידי ג'</w:t>
      </w:r>
      <w:r w:rsidR="00D01B8C">
        <w:rPr>
          <w:rFonts w:ascii="David" w:hAnsi="David" w:hint="cs"/>
          <w:b/>
          <w:bCs/>
          <w:rtl/>
        </w:rPr>
        <w:t xml:space="preserve"> </w:t>
      </w:r>
      <w:r w:rsidR="00EA34E3" w:rsidRPr="00BD1B7F">
        <w:rPr>
          <w:rFonts w:ascii="David" w:hAnsi="David"/>
          <w:b/>
          <w:bCs/>
          <w:rtl/>
        </w:rPr>
        <w:t>עצמו ובין אם על ידי מי מיופי הכח שמינה, לפיו זכויותיו במ</w:t>
      </w:r>
      <w:r w:rsidR="0058388E">
        <w:rPr>
          <w:rFonts w:ascii="David" w:hAnsi="David"/>
          <w:b/>
          <w:bCs/>
          <w:rtl/>
        </w:rPr>
        <w:t>קרקעין מוענקות לנתבעת במתנה". "</w:t>
      </w:r>
      <w:r w:rsidR="00EA34E3" w:rsidRPr="00BD1B7F">
        <w:rPr>
          <w:rFonts w:ascii="David" w:hAnsi="David"/>
          <w:b/>
          <w:bCs/>
          <w:rtl/>
        </w:rPr>
        <w:t xml:space="preserve">התחייבות של אדם להעניק מתנה טעונה מסמך בכתב ( סעיף 5 לחוק המתנה, תשכ"ח-1968). יפוי הכח עליו מבקשת הנתבעת לסמוך את טענותיה, אינו יכול להיחשב כהתחייבותו </w:t>
      </w:r>
      <w:r w:rsidR="00B92744">
        <w:rPr>
          <w:rFonts w:ascii="David" w:hAnsi="David"/>
          <w:b/>
          <w:bCs/>
          <w:rtl/>
        </w:rPr>
        <w:t>של ג'</w:t>
      </w:r>
      <w:r w:rsidR="00D01B8C">
        <w:rPr>
          <w:rFonts w:ascii="David" w:hAnsi="David" w:hint="cs"/>
          <w:b/>
          <w:bCs/>
          <w:rtl/>
        </w:rPr>
        <w:t xml:space="preserve"> </w:t>
      </w:r>
      <w:r w:rsidR="00B92744">
        <w:rPr>
          <w:rFonts w:ascii="David" w:hAnsi="David"/>
          <w:b/>
          <w:bCs/>
          <w:rtl/>
        </w:rPr>
        <w:t>בכתב להעניק לה את זכו</w:t>
      </w:r>
      <w:r w:rsidR="00EA34E3" w:rsidRPr="00BD1B7F">
        <w:rPr>
          <w:rFonts w:ascii="David" w:hAnsi="David"/>
          <w:b/>
          <w:bCs/>
          <w:rtl/>
        </w:rPr>
        <w:t>יותיו לנתבעת במתנה, שכן לצד האפשרות שניתנה למיופי הכוח, להעביר את זכויותיו של ג'במקרקעין לנתבעת ללא</w:t>
      </w:r>
      <w:r w:rsidR="00C918DC">
        <w:rPr>
          <w:rFonts w:ascii="David" w:hAnsi="David"/>
          <w:b/>
          <w:bCs/>
          <w:rtl/>
        </w:rPr>
        <w:t xml:space="preserve"> תמורה, מצויות חלופות נוספות ("</w:t>
      </w:r>
      <w:r w:rsidR="00EA34E3" w:rsidRPr="00BD1B7F">
        <w:rPr>
          <w:rFonts w:ascii="David" w:hAnsi="David"/>
          <w:b/>
          <w:bCs/>
          <w:rtl/>
        </w:rPr>
        <w:t>למכור ולהעביר, להשכיר, להחכיר") שמיפוי הכוח רשאים לבצע. העובדה כי ביפוי הכוח נפתחו בפני מיופי הכוח אפשרויות לבצע עסקאות שונות במקרקעין, מלמדת שאין להסיק מיפוי הכוח כי העניק לנתבעת את הזכויות במתנה דווקא. יתרה מזאת , מתן יפוי כח לאדם לבצע פעולות בעצמו , וכל עוד השלוח לא ביצע פעולה כ</w:t>
      </w:r>
      <w:r w:rsidR="006721DF">
        <w:rPr>
          <w:rFonts w:ascii="David" w:hAnsi="David"/>
          <w:b/>
          <w:bCs/>
          <w:rtl/>
        </w:rPr>
        <w:t>לשהי על פי יפוי הכוח, רשאי השולח לבצע פעולה בנכסיו,</w:t>
      </w:r>
      <w:r w:rsidR="00D01B8C">
        <w:rPr>
          <w:rFonts w:ascii="David" w:hAnsi="David" w:hint="cs"/>
          <w:b/>
          <w:bCs/>
          <w:rtl/>
        </w:rPr>
        <w:t xml:space="preserve"> </w:t>
      </w:r>
      <w:r w:rsidR="00EA34E3" w:rsidRPr="00BD1B7F">
        <w:rPr>
          <w:rFonts w:ascii="David" w:hAnsi="David"/>
          <w:b/>
          <w:bCs/>
          <w:rtl/>
        </w:rPr>
        <w:t>אפילו היא סותרת את יפוי הכח שנתן.</w:t>
      </w:r>
    </w:p>
    <w:p w:rsidR="00EA34E3" w:rsidRDefault="00BD1B7F" w:rsidP="00EA34E3">
      <w:pPr>
        <w:pStyle w:val="ad"/>
        <w:spacing w:line="360" w:lineRule="auto"/>
        <w:ind w:left="360"/>
        <w:jc w:val="both"/>
        <w:rPr>
          <w:rFonts w:ascii="David" w:hAnsi="David"/>
          <w:i/>
          <w:iCs/>
          <w:rtl/>
        </w:rPr>
      </w:pPr>
      <w:r>
        <w:rPr>
          <w:rFonts w:ascii="David" w:hAnsi="David" w:hint="cs"/>
          <w:i/>
          <w:iCs/>
          <w:rtl/>
        </w:rPr>
        <w:t>......</w:t>
      </w:r>
    </w:p>
    <w:p w:rsidR="00EA34E3" w:rsidRDefault="00BD1B7F" w:rsidP="00D01B8C">
      <w:pPr>
        <w:pStyle w:val="ad"/>
        <w:spacing w:line="360" w:lineRule="auto"/>
        <w:ind w:left="360"/>
        <w:jc w:val="both"/>
        <w:rPr>
          <w:rFonts w:ascii="David" w:hAnsi="David"/>
          <w:b/>
          <w:bCs/>
          <w:rtl/>
        </w:rPr>
      </w:pPr>
      <w:r w:rsidRPr="00BD1B7F">
        <w:rPr>
          <w:rFonts w:ascii="David" w:hAnsi="David" w:hint="cs"/>
          <w:b/>
          <w:bCs/>
          <w:rtl/>
        </w:rPr>
        <w:t>"..</w:t>
      </w:r>
      <w:r w:rsidR="00916E56">
        <w:rPr>
          <w:rFonts w:ascii="David" w:hAnsi="David"/>
          <w:b/>
          <w:bCs/>
          <w:rtl/>
        </w:rPr>
        <w:t>במקרה שלפני</w:t>
      </w:r>
      <w:r w:rsidR="00EA34E3" w:rsidRPr="00BD1B7F">
        <w:rPr>
          <w:rFonts w:ascii="David" w:hAnsi="David"/>
          <w:b/>
          <w:bCs/>
          <w:rtl/>
        </w:rPr>
        <w:t>, אין ביפוי הכח יותר מאשר הרשאה גרידא לבצע פעולות שונות, ובכללן האפשרות להעביר את זכויותיו של ג'</w:t>
      </w:r>
      <w:r w:rsidR="00D01B8C">
        <w:rPr>
          <w:rFonts w:ascii="David" w:hAnsi="David" w:hint="cs"/>
          <w:b/>
          <w:bCs/>
          <w:rtl/>
        </w:rPr>
        <w:t xml:space="preserve"> </w:t>
      </w:r>
      <w:r w:rsidR="00EA34E3" w:rsidRPr="00BD1B7F">
        <w:rPr>
          <w:rFonts w:ascii="David" w:hAnsi="David"/>
          <w:b/>
          <w:bCs/>
          <w:rtl/>
        </w:rPr>
        <w:t>לנתבעת לל</w:t>
      </w:r>
      <w:r w:rsidR="00B92744">
        <w:rPr>
          <w:rFonts w:ascii="David" w:hAnsi="David"/>
          <w:b/>
          <w:bCs/>
          <w:rtl/>
        </w:rPr>
        <w:t>א תמורה. לא נעלם מעיני כי ביפוי</w:t>
      </w:r>
      <w:r w:rsidR="00EA34E3" w:rsidRPr="00BD1B7F">
        <w:rPr>
          <w:rFonts w:ascii="David" w:hAnsi="David"/>
          <w:b/>
          <w:bCs/>
          <w:rtl/>
        </w:rPr>
        <w:t xml:space="preserve"> הכח מופיע המשפט הבא:"... מבלי שתהיה לי זכות לבטלו או להת</w:t>
      </w:r>
      <w:r>
        <w:rPr>
          <w:rFonts w:ascii="David" w:hAnsi="David"/>
          <w:b/>
          <w:bCs/>
          <w:rtl/>
        </w:rPr>
        <w:t>נות או לגרוע ממכר ללא תמורה זה</w:t>
      </w:r>
      <w:r w:rsidR="006721DF">
        <w:rPr>
          <w:rFonts w:ascii="David" w:hAnsi="David" w:hint="cs"/>
          <w:b/>
          <w:bCs/>
          <w:rtl/>
        </w:rPr>
        <w:t>"</w:t>
      </w:r>
      <w:r>
        <w:rPr>
          <w:rFonts w:ascii="David" w:hAnsi="David" w:hint="cs"/>
          <w:b/>
          <w:bCs/>
          <w:rtl/>
        </w:rPr>
        <w:t xml:space="preserve">. </w:t>
      </w:r>
      <w:r w:rsidR="006721DF">
        <w:rPr>
          <w:rFonts w:ascii="David" w:hAnsi="David"/>
          <w:b/>
          <w:bCs/>
          <w:rtl/>
        </w:rPr>
        <w:t>שקלתי</w:t>
      </w:r>
      <w:r w:rsidR="00EA34E3" w:rsidRPr="00BD1B7F">
        <w:rPr>
          <w:rFonts w:ascii="David" w:hAnsi="David"/>
          <w:b/>
          <w:bCs/>
          <w:rtl/>
        </w:rPr>
        <w:t>, האם אין מקום לראות במשפט זה משפט המעיד על כך שיפוי הכוח</w:t>
      </w:r>
      <w:r w:rsidR="00B92744">
        <w:rPr>
          <w:rFonts w:ascii="David" w:hAnsi="David"/>
          <w:b/>
          <w:bCs/>
          <w:rtl/>
        </w:rPr>
        <w:t xml:space="preserve"> מגלם בתוכו אף את עסקת המתנה ("</w:t>
      </w:r>
      <w:r w:rsidR="00EA34E3" w:rsidRPr="00BD1B7F">
        <w:rPr>
          <w:rFonts w:ascii="David" w:hAnsi="David"/>
          <w:b/>
          <w:bCs/>
          <w:rtl/>
        </w:rPr>
        <w:t xml:space="preserve">מכר ללא תמורה זה"), והנני סבור, שאין ללמוד ממשפט זה על כך שיפוי הכח מעיד על </w:t>
      </w:r>
      <w:r w:rsidR="006721DF">
        <w:rPr>
          <w:rFonts w:ascii="David" w:hAnsi="David"/>
          <w:b/>
          <w:bCs/>
          <w:rtl/>
        </w:rPr>
        <w:t>עסקת מתנה</w:t>
      </w:r>
      <w:r w:rsidR="00EA34E3" w:rsidRPr="00BD1B7F">
        <w:rPr>
          <w:rFonts w:ascii="David" w:hAnsi="David"/>
          <w:b/>
          <w:bCs/>
          <w:rtl/>
        </w:rPr>
        <w:t>. הטעם לכך הוא, שלפני שנותן המתנה (ג') ישלול מעצמו את הזכות להתנות על המתנה או לגרוע מהמתנה, עליו להעניק לנתבעת את זכויותיו במתנה, וכאמור, מסמך המעניק את הזכויות לנתבעת במתנה לא נעשה על ידי ג'</w:t>
      </w:r>
      <w:r w:rsidR="00D01B8C">
        <w:rPr>
          <w:rFonts w:ascii="David" w:hAnsi="David" w:hint="cs"/>
          <w:b/>
          <w:bCs/>
          <w:rtl/>
        </w:rPr>
        <w:t xml:space="preserve"> </w:t>
      </w:r>
      <w:r w:rsidR="00EA34E3" w:rsidRPr="00BD1B7F">
        <w:rPr>
          <w:rFonts w:ascii="David" w:hAnsi="David"/>
          <w:b/>
          <w:bCs/>
          <w:rtl/>
        </w:rPr>
        <w:t>ואף לא על ידי מיופי הכח שמינה. על כן, הכוונה להעניק א</w:t>
      </w:r>
      <w:r w:rsidR="00B92744">
        <w:rPr>
          <w:rFonts w:ascii="David" w:hAnsi="David"/>
          <w:b/>
          <w:bCs/>
          <w:rtl/>
        </w:rPr>
        <w:t xml:space="preserve">ת הזכויות במתנה לנתבעת הייתה </w:t>
      </w:r>
      <w:r w:rsidR="00B92744">
        <w:rPr>
          <w:rFonts w:ascii="David" w:hAnsi="David" w:hint="cs"/>
          <w:b/>
          <w:bCs/>
          <w:rtl/>
        </w:rPr>
        <w:t>ו</w:t>
      </w:r>
      <w:r w:rsidR="00EA34E3" w:rsidRPr="00BD1B7F">
        <w:rPr>
          <w:rFonts w:ascii="David" w:hAnsi="David"/>
          <w:b/>
          <w:bCs/>
          <w:rtl/>
        </w:rPr>
        <w:t>נותרה בגדר כוונה כללית, אך לא יצאה מהכח ( או ליתר דיוק – מיפוי הכ</w:t>
      </w:r>
      <w:r w:rsidR="006721DF">
        <w:rPr>
          <w:rFonts w:ascii="David" w:hAnsi="David" w:hint="cs"/>
          <w:b/>
          <w:bCs/>
          <w:rtl/>
        </w:rPr>
        <w:t>ו</w:t>
      </w:r>
      <w:r w:rsidR="00EA34E3" w:rsidRPr="00BD1B7F">
        <w:rPr>
          <w:rFonts w:ascii="David" w:hAnsi="David"/>
          <w:b/>
          <w:bCs/>
          <w:rtl/>
        </w:rPr>
        <w:t>ח) אל הפועל".</w:t>
      </w:r>
      <w:r w:rsidR="00D01B8C">
        <w:rPr>
          <w:rFonts w:ascii="David" w:hAnsi="David" w:hint="cs"/>
          <w:b/>
          <w:bCs/>
          <w:rtl/>
        </w:rPr>
        <w:t xml:space="preserve"> </w:t>
      </w:r>
      <w:r w:rsidR="00DD0513">
        <w:rPr>
          <w:rFonts w:ascii="David" w:hAnsi="David"/>
          <w:b/>
          <w:bCs/>
          <w:rtl/>
        </w:rPr>
        <w:t xml:space="preserve">(ראה </w:t>
      </w:r>
      <w:r w:rsidR="00DD0513">
        <w:rPr>
          <w:rFonts w:ascii="David" w:hAnsi="David" w:hint="cs"/>
          <w:b/>
          <w:bCs/>
          <w:rtl/>
        </w:rPr>
        <w:t>***</w:t>
      </w:r>
      <w:r w:rsidR="00EA34E3" w:rsidRPr="00BD1B7F">
        <w:rPr>
          <w:rFonts w:ascii="David" w:hAnsi="David"/>
          <w:b/>
          <w:bCs/>
          <w:rtl/>
        </w:rPr>
        <w:t>ביהמ"ש מחוזי עמ' 5-6   פס' 1-24).</w:t>
      </w:r>
    </w:p>
    <w:p w:rsidR="009C379A" w:rsidRPr="00BD1B7F" w:rsidRDefault="009C379A" w:rsidP="00EA34E3">
      <w:pPr>
        <w:pStyle w:val="ad"/>
        <w:spacing w:line="360" w:lineRule="auto"/>
        <w:ind w:left="360"/>
        <w:jc w:val="both"/>
        <w:rPr>
          <w:rFonts w:ascii="David" w:hAnsi="David"/>
          <w:b/>
          <w:bCs/>
        </w:rPr>
      </w:pPr>
    </w:p>
    <w:p w:rsidR="004B6825" w:rsidRDefault="00EA34E3" w:rsidP="004B6825">
      <w:pPr>
        <w:pStyle w:val="ad"/>
        <w:spacing w:line="360" w:lineRule="auto"/>
        <w:ind w:left="360"/>
        <w:jc w:val="both"/>
        <w:rPr>
          <w:rFonts w:ascii="David" w:hAnsi="David"/>
          <w:rtl/>
        </w:rPr>
      </w:pPr>
      <w:r>
        <w:rPr>
          <w:rFonts w:ascii="David" w:hAnsi="David"/>
          <w:rtl/>
        </w:rPr>
        <w:t xml:space="preserve">בסופם של הדברים </w:t>
      </w:r>
      <w:r w:rsidR="00BC2000">
        <w:rPr>
          <w:rFonts w:ascii="David" w:hAnsi="David" w:hint="cs"/>
          <w:rtl/>
        </w:rPr>
        <w:t xml:space="preserve">קבע </w:t>
      </w:r>
      <w:r>
        <w:rPr>
          <w:rFonts w:ascii="David" w:hAnsi="David"/>
          <w:rtl/>
        </w:rPr>
        <w:t>ביהמ"ש:</w:t>
      </w:r>
    </w:p>
    <w:p w:rsidR="003200A3" w:rsidRDefault="003200A3" w:rsidP="003200A3">
      <w:pPr>
        <w:pStyle w:val="ad"/>
        <w:ind w:left="360"/>
        <w:jc w:val="both"/>
        <w:rPr>
          <w:rFonts w:ascii="David" w:hAnsi="David"/>
          <w:rtl/>
        </w:rPr>
      </w:pPr>
    </w:p>
    <w:p w:rsidR="00EA34E3" w:rsidRDefault="00EA34E3" w:rsidP="00D01B8C">
      <w:pPr>
        <w:pStyle w:val="ad"/>
        <w:spacing w:line="360" w:lineRule="auto"/>
        <w:ind w:left="360"/>
        <w:jc w:val="both"/>
        <w:rPr>
          <w:rFonts w:ascii="David" w:hAnsi="David"/>
          <w:b/>
          <w:bCs/>
        </w:rPr>
      </w:pPr>
      <w:r w:rsidRPr="004B6825">
        <w:rPr>
          <w:rFonts w:ascii="David" w:hAnsi="David"/>
          <w:b/>
          <w:bCs/>
          <w:rtl/>
        </w:rPr>
        <w:t xml:space="preserve"> "הנתבעת נמנעה מלהזמין את ג</w:t>
      </w:r>
      <w:r w:rsidR="00D01B8C">
        <w:rPr>
          <w:rFonts w:ascii="David" w:hAnsi="David" w:hint="cs"/>
          <w:b/>
          <w:bCs/>
          <w:rtl/>
        </w:rPr>
        <w:t xml:space="preserve">' </w:t>
      </w:r>
      <w:r w:rsidRPr="004B6825">
        <w:rPr>
          <w:rFonts w:ascii="David" w:hAnsi="David"/>
          <w:b/>
          <w:bCs/>
          <w:rtl/>
        </w:rPr>
        <w:t>כדי לתמוך בטענותיה ולאפשר את חקירתו הנגדית, ועל כן, אי הזמנתו של ג'</w:t>
      </w:r>
      <w:r w:rsidR="00D01B8C">
        <w:rPr>
          <w:rFonts w:ascii="David" w:hAnsi="David" w:hint="cs"/>
          <w:b/>
          <w:bCs/>
          <w:rtl/>
        </w:rPr>
        <w:t xml:space="preserve"> </w:t>
      </w:r>
      <w:r w:rsidRPr="004B6825">
        <w:rPr>
          <w:rFonts w:ascii="David" w:hAnsi="David"/>
          <w:b/>
          <w:bCs/>
          <w:rtl/>
        </w:rPr>
        <w:t>להעיד, צריך שתפעל ביתר חומרה כנגד הנתבעת מאשר כנד התובעים. על כן, הנני דוחה טענות הנתבעת, כי</w:t>
      </w:r>
      <w:r w:rsidR="006721DF">
        <w:rPr>
          <w:rFonts w:ascii="David" w:hAnsi="David"/>
          <w:b/>
          <w:bCs/>
          <w:rtl/>
        </w:rPr>
        <w:t xml:space="preserve"> קיבל</w:t>
      </w:r>
      <w:r w:rsidR="00BC2000">
        <w:rPr>
          <w:rFonts w:ascii="David" w:hAnsi="David"/>
          <w:b/>
          <w:bCs/>
          <w:rtl/>
        </w:rPr>
        <w:t>ה את זכויותיו של ג'</w:t>
      </w:r>
      <w:r w:rsidR="00D01B8C">
        <w:rPr>
          <w:rFonts w:ascii="David" w:hAnsi="David" w:hint="cs"/>
          <w:b/>
          <w:bCs/>
          <w:rtl/>
        </w:rPr>
        <w:t xml:space="preserve"> </w:t>
      </w:r>
      <w:r w:rsidR="00BC2000">
        <w:rPr>
          <w:rFonts w:ascii="David" w:hAnsi="David"/>
          <w:b/>
          <w:bCs/>
          <w:rtl/>
        </w:rPr>
        <w:t>ב</w:t>
      </w:r>
      <w:r w:rsidR="00BC2000">
        <w:rPr>
          <w:rFonts w:ascii="David" w:hAnsi="David" w:hint="cs"/>
          <w:b/>
          <w:bCs/>
          <w:rtl/>
        </w:rPr>
        <w:t>מ</w:t>
      </w:r>
      <w:r w:rsidR="006721DF">
        <w:rPr>
          <w:rFonts w:ascii="David" w:hAnsi="David"/>
          <w:b/>
          <w:bCs/>
          <w:rtl/>
        </w:rPr>
        <w:t>תנה</w:t>
      </w:r>
      <w:r w:rsidRPr="004B6825">
        <w:rPr>
          <w:rFonts w:ascii="David" w:hAnsi="David"/>
          <w:b/>
          <w:bCs/>
          <w:rtl/>
        </w:rPr>
        <w:t>, וממילא עסקת המכר עם התובעים עומדת לבדה"</w:t>
      </w:r>
      <w:r w:rsidR="00D01B8C">
        <w:rPr>
          <w:rFonts w:ascii="David" w:hAnsi="David" w:hint="cs"/>
          <w:b/>
          <w:bCs/>
          <w:rtl/>
        </w:rPr>
        <w:t xml:space="preserve"> </w:t>
      </w:r>
      <w:r w:rsidR="00DD0513">
        <w:rPr>
          <w:rFonts w:ascii="David" w:hAnsi="David"/>
          <w:b/>
          <w:bCs/>
          <w:rtl/>
        </w:rPr>
        <w:t>(ראה</w:t>
      </w:r>
      <w:r w:rsidR="00DD0513">
        <w:rPr>
          <w:rFonts w:ascii="David" w:hAnsi="David" w:hint="cs"/>
          <w:b/>
          <w:bCs/>
          <w:rtl/>
        </w:rPr>
        <w:t>***</w:t>
      </w:r>
      <w:r>
        <w:rPr>
          <w:rFonts w:ascii="David" w:hAnsi="David"/>
          <w:b/>
          <w:bCs/>
          <w:rtl/>
        </w:rPr>
        <w:t xml:space="preserve">ביהמ"ש מחוזי  עמ' 7 פס' 8-14).  </w:t>
      </w:r>
    </w:p>
    <w:p w:rsidR="00EA34E3" w:rsidRPr="008F2508" w:rsidRDefault="008F2508" w:rsidP="00227E4D">
      <w:pPr>
        <w:pStyle w:val="ad"/>
        <w:numPr>
          <w:ilvl w:val="0"/>
          <w:numId w:val="2"/>
        </w:numPr>
        <w:spacing w:line="360" w:lineRule="auto"/>
        <w:jc w:val="both"/>
        <w:rPr>
          <w:rFonts w:ascii="David" w:hAnsi="David"/>
          <w:rtl/>
        </w:rPr>
      </w:pPr>
      <w:r w:rsidRPr="008F2508">
        <w:rPr>
          <w:rFonts w:ascii="David" w:hAnsi="David" w:hint="cs"/>
          <w:rtl/>
        </w:rPr>
        <w:lastRenderedPageBreak/>
        <w:t xml:space="preserve">מכל </w:t>
      </w:r>
      <w:r w:rsidR="00EC31E6">
        <w:rPr>
          <w:rFonts w:ascii="David" w:hAnsi="David" w:hint="cs"/>
          <w:rtl/>
        </w:rPr>
        <w:t>האמור, לא מצאתי ש</w:t>
      </w:r>
      <w:r w:rsidRPr="008F2508">
        <w:rPr>
          <w:rFonts w:ascii="David" w:hAnsi="David" w:hint="cs"/>
          <w:rtl/>
        </w:rPr>
        <w:t xml:space="preserve">מתקיים מעשה בית- דין.  </w:t>
      </w:r>
      <w:r w:rsidRPr="008F2508">
        <w:rPr>
          <w:rFonts w:ascii="David" w:hAnsi="David"/>
          <w:rtl/>
        </w:rPr>
        <w:t>שאלת תוקפו וכשרותו</w:t>
      </w:r>
      <w:r w:rsidR="00EC31E6">
        <w:rPr>
          <w:rFonts w:ascii="David" w:hAnsi="David" w:hint="cs"/>
          <w:rtl/>
        </w:rPr>
        <w:t xml:space="preserve"> של ייפוי הכח</w:t>
      </w:r>
      <w:r w:rsidRPr="008F2508">
        <w:rPr>
          <w:rFonts w:ascii="David" w:hAnsi="David"/>
          <w:rtl/>
        </w:rPr>
        <w:t xml:space="preserve"> </w:t>
      </w:r>
      <w:r w:rsidRPr="008F2508">
        <w:rPr>
          <w:rFonts w:ascii="David" w:hAnsi="David" w:hint="cs"/>
          <w:rtl/>
        </w:rPr>
        <w:t xml:space="preserve">לא נדונה </w:t>
      </w:r>
      <w:r w:rsidR="00EC31E6">
        <w:rPr>
          <w:rFonts w:ascii="David" w:hAnsi="David" w:hint="cs"/>
          <w:rtl/>
        </w:rPr>
        <w:t xml:space="preserve">והוכרעה בהליכים קודמים, </w:t>
      </w:r>
      <w:r w:rsidRPr="008F2508">
        <w:rPr>
          <w:rFonts w:ascii="David" w:hAnsi="David" w:hint="cs"/>
          <w:rtl/>
        </w:rPr>
        <w:t xml:space="preserve"> ויש לאפשר לנתבע את יומו בבית המשפט אגב בחינת טענותיו אלה. </w:t>
      </w:r>
      <w:r w:rsidR="00EA34E3" w:rsidRPr="008F2508">
        <w:rPr>
          <w:rFonts w:ascii="David" w:hAnsi="David"/>
          <w:rtl/>
        </w:rPr>
        <w:t xml:space="preserve"> </w:t>
      </w:r>
    </w:p>
    <w:p w:rsidR="00227E4D" w:rsidRDefault="00227E4D" w:rsidP="008E66F1">
      <w:pPr>
        <w:jc w:val="both"/>
        <w:rPr>
          <w:rFonts w:ascii="David" w:hAnsi="David"/>
          <w:rtl/>
        </w:rPr>
      </w:pPr>
    </w:p>
    <w:p w:rsidR="00EA34E3" w:rsidRPr="00227E4D" w:rsidRDefault="00C7148E" w:rsidP="00EA34E3">
      <w:pPr>
        <w:spacing w:line="360" w:lineRule="auto"/>
        <w:jc w:val="both"/>
        <w:rPr>
          <w:rFonts w:ascii="David" w:hAnsi="David"/>
          <w:b/>
          <w:bCs/>
          <w:rtl/>
        </w:rPr>
      </w:pPr>
      <w:r>
        <w:rPr>
          <w:rFonts w:ascii="David" w:hAnsi="David" w:hint="cs"/>
          <w:b/>
          <w:bCs/>
          <w:rtl/>
        </w:rPr>
        <w:t>מכאן, אדרש לבקשת התובעת לחזור בה מן ההסכמה הדיונית למינוי מומחה מטעם בית המשפט שידרש לבחון את אמיתות חתימת הנתבע על גבי ייפוי הכח נשוא העסקה;</w:t>
      </w:r>
    </w:p>
    <w:p w:rsidR="00EA34E3" w:rsidRDefault="00EA34E3" w:rsidP="008E66F1">
      <w:pPr>
        <w:pStyle w:val="ad"/>
        <w:jc w:val="both"/>
        <w:rPr>
          <w:rFonts w:ascii="David" w:hAnsi="David"/>
        </w:rPr>
      </w:pPr>
    </w:p>
    <w:p w:rsidR="00EA34E3" w:rsidRDefault="00C7148E" w:rsidP="00EA34E3">
      <w:pPr>
        <w:pStyle w:val="ad"/>
        <w:numPr>
          <w:ilvl w:val="0"/>
          <w:numId w:val="2"/>
        </w:numPr>
        <w:spacing w:line="360" w:lineRule="auto"/>
        <w:jc w:val="both"/>
        <w:rPr>
          <w:rFonts w:ascii="David" w:hAnsi="David"/>
          <w:rtl/>
        </w:rPr>
      </w:pPr>
      <w:r>
        <w:rPr>
          <w:rFonts w:ascii="David" w:hAnsi="David" w:hint="cs"/>
          <w:rtl/>
        </w:rPr>
        <w:t xml:space="preserve">כמפורט </w:t>
      </w:r>
      <w:r w:rsidR="00EA34E3">
        <w:rPr>
          <w:rFonts w:ascii="David" w:hAnsi="David"/>
          <w:rtl/>
        </w:rPr>
        <w:t>בהחלטתי מיום 6.6.2020 ,</w:t>
      </w:r>
      <w:r w:rsidR="009C379A">
        <w:rPr>
          <w:rFonts w:ascii="David" w:hAnsi="David" w:hint="cs"/>
          <w:rtl/>
        </w:rPr>
        <w:t xml:space="preserve"> </w:t>
      </w:r>
      <w:r w:rsidR="00EA34E3">
        <w:rPr>
          <w:rFonts w:ascii="David" w:hAnsi="David"/>
          <w:rtl/>
        </w:rPr>
        <w:t>התובעת מבססת תביעתה על יפוי כח בלתי חוז</w:t>
      </w:r>
      <w:r>
        <w:rPr>
          <w:rFonts w:ascii="David" w:hAnsi="David"/>
          <w:rtl/>
        </w:rPr>
        <w:t>ר עליו חתומים לכאורה שני הצדדים</w:t>
      </w:r>
      <w:r>
        <w:rPr>
          <w:rFonts w:ascii="David" w:hAnsi="David" w:hint="cs"/>
          <w:rtl/>
        </w:rPr>
        <w:t xml:space="preserve">.  הנתבע מכחיש חתימתו וטוען שזוייפה. </w:t>
      </w:r>
    </w:p>
    <w:p w:rsidR="00EA34E3" w:rsidRDefault="00EA34E3" w:rsidP="008E66F1">
      <w:pPr>
        <w:jc w:val="both"/>
        <w:rPr>
          <w:rFonts w:ascii="David" w:hAnsi="David"/>
        </w:rPr>
      </w:pPr>
    </w:p>
    <w:p w:rsidR="00C7148E" w:rsidRDefault="00C7148E" w:rsidP="00C7148E">
      <w:pPr>
        <w:pStyle w:val="ad"/>
        <w:numPr>
          <w:ilvl w:val="0"/>
          <w:numId w:val="2"/>
        </w:numPr>
        <w:spacing w:line="360" w:lineRule="auto"/>
        <w:jc w:val="both"/>
        <w:rPr>
          <w:rFonts w:ascii="David" w:hAnsi="David"/>
        </w:rPr>
      </w:pPr>
      <w:r>
        <w:rPr>
          <w:rFonts w:ascii="David" w:hAnsi="David"/>
          <w:rtl/>
        </w:rPr>
        <w:t>ביום 11.4.22 התקיים דיון</w:t>
      </w:r>
      <w:r w:rsidR="00916E56">
        <w:rPr>
          <w:rFonts w:ascii="David" w:hAnsi="David"/>
          <w:rtl/>
        </w:rPr>
        <w:t xml:space="preserve"> בהעדר התובעת</w:t>
      </w:r>
      <w:r>
        <w:rPr>
          <w:rFonts w:ascii="David" w:hAnsi="David" w:hint="cs"/>
          <w:rtl/>
        </w:rPr>
        <w:t xml:space="preserve">. במסגרת הדיון </w:t>
      </w:r>
      <w:r w:rsidR="00EA34E3" w:rsidRPr="00C7148E">
        <w:rPr>
          <w:rFonts w:ascii="David" w:hAnsi="David"/>
          <w:rtl/>
        </w:rPr>
        <w:t xml:space="preserve">התגבשה הסכמה </w:t>
      </w:r>
      <w:r>
        <w:rPr>
          <w:rFonts w:ascii="David" w:hAnsi="David" w:hint="cs"/>
          <w:rtl/>
        </w:rPr>
        <w:t xml:space="preserve">דיונית לפיה </w:t>
      </w:r>
      <w:r>
        <w:rPr>
          <w:rFonts w:ascii="David" w:hAnsi="David"/>
          <w:rtl/>
        </w:rPr>
        <w:t xml:space="preserve"> בית המשפט ימנה מומחה לבחינת חתימת </w:t>
      </w:r>
      <w:r w:rsidR="00EA34E3" w:rsidRPr="00C7148E">
        <w:rPr>
          <w:rFonts w:ascii="David" w:hAnsi="David"/>
          <w:rtl/>
        </w:rPr>
        <w:t>הצדדים על יפוי הכח הבלתי חוזר</w:t>
      </w:r>
      <w:r>
        <w:rPr>
          <w:rFonts w:ascii="David" w:hAnsi="David" w:hint="cs"/>
          <w:rtl/>
        </w:rPr>
        <w:t>. הסכמה זו הייתה על דעת התובעת באמצעות ב"כ</w:t>
      </w:r>
      <w:r w:rsidR="00916E56">
        <w:rPr>
          <w:rFonts w:ascii="David" w:hAnsi="David" w:hint="cs"/>
          <w:rtl/>
        </w:rPr>
        <w:t xml:space="preserve"> </w:t>
      </w:r>
      <w:r>
        <w:rPr>
          <w:rFonts w:ascii="David" w:hAnsi="David" w:hint="cs"/>
          <w:rtl/>
        </w:rPr>
        <w:t>ש</w:t>
      </w:r>
      <w:r w:rsidR="000655DC">
        <w:rPr>
          <w:rFonts w:ascii="David" w:hAnsi="David" w:hint="cs"/>
          <w:rtl/>
        </w:rPr>
        <w:t>טען</w:t>
      </w:r>
      <w:r>
        <w:rPr>
          <w:rFonts w:ascii="David" w:hAnsi="David" w:hint="cs"/>
          <w:rtl/>
        </w:rPr>
        <w:t xml:space="preserve"> לפרוטוקול:" </w:t>
      </w:r>
      <w:r w:rsidR="00EA34E3" w:rsidRPr="00C7148E">
        <w:rPr>
          <w:rFonts w:ascii="David" w:hAnsi="David"/>
          <w:b/>
          <w:bCs/>
          <w:rtl/>
        </w:rPr>
        <w:t>אני מסכים שימונה מומחה מטעם בית המשפט לבחינת חתימתם של שני הצדדים על ייפוי הכח הבלתי ח</w:t>
      </w:r>
      <w:r>
        <w:rPr>
          <w:rFonts w:ascii="David" w:hAnsi="David"/>
          <w:b/>
          <w:bCs/>
          <w:rtl/>
        </w:rPr>
        <w:t>וזר עליו מבססת התובעת את תביעתה</w:t>
      </w:r>
      <w:r w:rsidR="00EA34E3" w:rsidRPr="00C7148E">
        <w:rPr>
          <w:rFonts w:ascii="David" w:hAnsi="David"/>
          <w:rtl/>
        </w:rPr>
        <w:t xml:space="preserve">" </w:t>
      </w:r>
      <w:r>
        <w:rPr>
          <w:rFonts w:ascii="David" w:hAnsi="David" w:hint="cs"/>
          <w:rtl/>
        </w:rPr>
        <w:t>(</w:t>
      </w:r>
      <w:r w:rsidR="00EA34E3" w:rsidRPr="00C7148E">
        <w:rPr>
          <w:rFonts w:ascii="David" w:hAnsi="David"/>
          <w:rtl/>
        </w:rPr>
        <w:t>ראה עמ' 7 שו' 10-11 לפרוטוקול ).</w:t>
      </w:r>
    </w:p>
    <w:p w:rsidR="00C7148E" w:rsidRPr="00C7148E" w:rsidRDefault="00C7148E" w:rsidP="00C7148E">
      <w:pPr>
        <w:pStyle w:val="ad"/>
        <w:rPr>
          <w:rFonts w:ascii="David" w:hAnsi="David"/>
          <w:rtl/>
        </w:rPr>
      </w:pPr>
    </w:p>
    <w:p w:rsidR="00EA34E3" w:rsidRPr="000655DC" w:rsidRDefault="00C7148E" w:rsidP="000655DC">
      <w:pPr>
        <w:pStyle w:val="ad"/>
        <w:spacing w:line="360" w:lineRule="auto"/>
        <w:ind w:left="360"/>
        <w:jc w:val="both"/>
        <w:rPr>
          <w:rFonts w:ascii="David" w:hAnsi="David"/>
        </w:rPr>
      </w:pPr>
      <w:r>
        <w:rPr>
          <w:rFonts w:ascii="David" w:hAnsi="David" w:hint="cs"/>
          <w:rtl/>
        </w:rPr>
        <w:t>גם ב"</w:t>
      </w:r>
      <w:r w:rsidR="000655DC">
        <w:rPr>
          <w:rFonts w:ascii="David" w:hAnsi="David" w:hint="cs"/>
          <w:rtl/>
        </w:rPr>
        <w:t>כ הנתבע נתן הסכמתו למתווה וטען</w:t>
      </w:r>
      <w:r w:rsidR="00EA34E3" w:rsidRPr="000655DC">
        <w:rPr>
          <w:rFonts w:ascii="David" w:hAnsi="David"/>
          <w:b/>
          <w:bCs/>
          <w:rtl/>
        </w:rPr>
        <w:t>:" אנחנו מסכימים שימונה מומחה מטעם בית המשפט לבחינת חתימתם של שני הצדדים על ייפוי הכח הבלתי ח</w:t>
      </w:r>
      <w:r w:rsidR="000655DC">
        <w:rPr>
          <w:rFonts w:ascii="David" w:hAnsi="David"/>
          <w:b/>
          <w:bCs/>
          <w:rtl/>
        </w:rPr>
        <w:t>וזר עליו מבססת התובעת את תביעתה</w:t>
      </w:r>
      <w:r w:rsidR="009C379A">
        <w:rPr>
          <w:rFonts w:ascii="David" w:hAnsi="David" w:hint="cs"/>
          <w:b/>
          <w:bCs/>
          <w:rtl/>
        </w:rPr>
        <w:t xml:space="preserve"> </w:t>
      </w:r>
      <w:r w:rsidR="00EA34E3" w:rsidRPr="000655DC">
        <w:rPr>
          <w:rFonts w:ascii="David" w:hAnsi="David"/>
          <w:b/>
          <w:bCs/>
          <w:rtl/>
        </w:rPr>
        <w:t xml:space="preserve">( </w:t>
      </w:r>
      <w:r w:rsidR="00EA34E3" w:rsidRPr="000655DC">
        <w:rPr>
          <w:rFonts w:ascii="David" w:hAnsi="David"/>
          <w:rtl/>
        </w:rPr>
        <w:t>ראה עמ' 7 לפרוטוקול הדיון מיום 22.4.22 שו' 13-15)</w:t>
      </w:r>
      <w:r w:rsidR="000655DC">
        <w:rPr>
          <w:rFonts w:ascii="David" w:hAnsi="David" w:hint="cs"/>
          <w:rtl/>
        </w:rPr>
        <w:t>"</w:t>
      </w:r>
      <w:r w:rsidR="00EA34E3" w:rsidRPr="000655DC">
        <w:rPr>
          <w:rFonts w:ascii="David" w:hAnsi="David"/>
          <w:rtl/>
        </w:rPr>
        <w:t>.</w:t>
      </w:r>
    </w:p>
    <w:p w:rsidR="00EA34E3" w:rsidRDefault="00EA34E3" w:rsidP="00EA34E3">
      <w:pPr>
        <w:pStyle w:val="ad"/>
        <w:spacing w:line="360" w:lineRule="auto"/>
        <w:jc w:val="both"/>
        <w:rPr>
          <w:rFonts w:ascii="David" w:hAnsi="David"/>
        </w:rPr>
      </w:pPr>
    </w:p>
    <w:p w:rsidR="00EA34E3" w:rsidRDefault="000655DC" w:rsidP="000655DC">
      <w:pPr>
        <w:pStyle w:val="ad"/>
        <w:numPr>
          <w:ilvl w:val="0"/>
          <w:numId w:val="2"/>
        </w:numPr>
        <w:spacing w:line="360" w:lineRule="auto"/>
        <w:jc w:val="both"/>
        <w:rPr>
          <w:rFonts w:ascii="David" w:hAnsi="David"/>
          <w:b/>
          <w:bCs/>
          <w:rtl/>
        </w:rPr>
      </w:pPr>
      <w:r>
        <w:rPr>
          <w:rFonts w:ascii="David" w:hAnsi="David"/>
          <w:rtl/>
        </w:rPr>
        <w:t xml:space="preserve">ביום 24.5.22 </w:t>
      </w:r>
      <w:r>
        <w:rPr>
          <w:rFonts w:ascii="David" w:hAnsi="David" w:hint="cs"/>
          <w:rtl/>
        </w:rPr>
        <w:t xml:space="preserve">עתרה </w:t>
      </w:r>
      <w:r>
        <w:rPr>
          <w:rFonts w:ascii="David" w:hAnsi="David"/>
          <w:rtl/>
        </w:rPr>
        <w:t>התובעת</w:t>
      </w:r>
      <w:r>
        <w:rPr>
          <w:rFonts w:ascii="David" w:hAnsi="David" w:hint="cs"/>
          <w:rtl/>
        </w:rPr>
        <w:t xml:space="preserve"> לחזור בה </w:t>
      </w:r>
      <w:r w:rsidR="00EA34E3">
        <w:rPr>
          <w:rFonts w:ascii="David" w:hAnsi="David"/>
          <w:rtl/>
        </w:rPr>
        <w:t>מהסכמה דיונית</w:t>
      </w:r>
      <w:r w:rsidR="00C13213">
        <w:rPr>
          <w:rFonts w:ascii="David" w:hAnsi="David" w:hint="cs"/>
          <w:rtl/>
        </w:rPr>
        <w:t xml:space="preserve">. </w:t>
      </w:r>
      <w:r>
        <w:rPr>
          <w:rFonts w:ascii="David" w:hAnsi="David" w:hint="cs"/>
          <w:rtl/>
        </w:rPr>
        <w:t xml:space="preserve">לאחר קבלת עמדת הנתבע ניתנה ביום 6.6.20 החלטתי מסגרתה קבעתי כדלקמן: </w:t>
      </w:r>
    </w:p>
    <w:p w:rsidR="00EA34E3" w:rsidRDefault="00EA34E3" w:rsidP="00EA34E3">
      <w:pPr>
        <w:pStyle w:val="ad"/>
        <w:spacing w:line="360" w:lineRule="auto"/>
        <w:jc w:val="both"/>
        <w:rPr>
          <w:rFonts w:ascii="David" w:hAnsi="David"/>
          <w:b/>
          <w:bCs/>
        </w:rPr>
      </w:pPr>
      <w:r>
        <w:rPr>
          <w:rFonts w:ascii="David" w:hAnsi="David"/>
          <w:b/>
          <w:bCs/>
          <w:rtl/>
        </w:rPr>
        <w:t>" בנסיבות אלה, ובשים לב למחלוקות לפניי, יש מקום בקבלת חוות דעת מקצועית לבחינת חתימות הצדדים על יפוי הכח, נשוא התביעה לפניי. בהתאמה, גם באם לא היתה מתקבלת הסכמת הצדדים המפורשת במסגרת הדיון לפניי, הרי שבהתאם לסמכותו של בית המשפט כקבוע בתקנה 25(א) לתקנות בית משפט לענייני משפחה, ובשים לב למחלוקת לפניי, הייתי נדרשת לשאלת מינ</w:t>
      </w:r>
      <w:r w:rsidR="009C379A">
        <w:rPr>
          <w:rFonts w:ascii="David" w:hAnsi="David"/>
          <w:b/>
          <w:bCs/>
          <w:rtl/>
        </w:rPr>
        <w:t>ויו. נהיר למען הסר ספק שאין במי</w:t>
      </w:r>
      <w:r w:rsidR="009C379A">
        <w:rPr>
          <w:rFonts w:ascii="David" w:hAnsi="David" w:hint="cs"/>
          <w:b/>
          <w:bCs/>
          <w:rtl/>
        </w:rPr>
        <w:t>נו</w:t>
      </w:r>
      <w:r>
        <w:rPr>
          <w:rFonts w:ascii="David" w:hAnsi="David"/>
          <w:b/>
          <w:bCs/>
          <w:rtl/>
        </w:rPr>
        <w:t xml:space="preserve">י המומחה בכדי לפגוע בכל טענות התובעת ובכלל זה שאלת מעשה בית הדין. בהתאמה לכך , אין במינוי מומחה והגשת חוות דעת בכדי לקבוע מסמרות בשאלת משקלה, כמו גם נפקותה ביחס לטענות התובעת". </w:t>
      </w:r>
    </w:p>
    <w:p w:rsidR="00EA34E3" w:rsidRDefault="00EA34E3" w:rsidP="008E66F1">
      <w:pPr>
        <w:pStyle w:val="ad"/>
        <w:jc w:val="both"/>
        <w:rPr>
          <w:rFonts w:ascii="David" w:hAnsi="David"/>
          <w:b/>
          <w:bCs/>
          <w:rtl/>
        </w:rPr>
      </w:pPr>
    </w:p>
    <w:p w:rsidR="00EA34E3" w:rsidRDefault="00953FA5" w:rsidP="00953FA5">
      <w:pPr>
        <w:pStyle w:val="ad"/>
        <w:numPr>
          <w:ilvl w:val="0"/>
          <w:numId w:val="2"/>
        </w:numPr>
        <w:spacing w:line="360" w:lineRule="auto"/>
        <w:jc w:val="both"/>
        <w:rPr>
          <w:rFonts w:ascii="David" w:hAnsi="David"/>
        </w:rPr>
      </w:pPr>
      <w:r>
        <w:rPr>
          <w:rFonts w:ascii="David" w:hAnsi="David" w:hint="cs"/>
          <w:rtl/>
        </w:rPr>
        <w:t>חרף החלטה זו, התובעת שבה ועותרת באותו הסעד, וטענה בין היתר לקיומו של מעשה בית דין כמו גם ש</w:t>
      </w:r>
      <w:r w:rsidR="00EA34E3" w:rsidRPr="00953FA5">
        <w:rPr>
          <w:rFonts w:ascii="David" w:hAnsi="David"/>
          <w:rtl/>
        </w:rPr>
        <w:t>ייפוי הכ</w:t>
      </w:r>
      <w:r>
        <w:rPr>
          <w:rFonts w:ascii="David" w:hAnsi="David"/>
          <w:rtl/>
        </w:rPr>
        <w:t xml:space="preserve">ח נחתם לפני למעלה מעשרים שנה </w:t>
      </w:r>
      <w:r>
        <w:rPr>
          <w:rFonts w:ascii="David" w:hAnsi="David" w:hint="cs"/>
          <w:rtl/>
        </w:rPr>
        <w:t>ו</w:t>
      </w:r>
      <w:r>
        <w:rPr>
          <w:rFonts w:ascii="David" w:hAnsi="David"/>
          <w:rtl/>
        </w:rPr>
        <w:t>מיופה כח</w:t>
      </w:r>
      <w:r w:rsidR="00EA34E3" w:rsidRPr="00953FA5">
        <w:rPr>
          <w:rFonts w:ascii="David" w:hAnsi="David"/>
          <w:rtl/>
        </w:rPr>
        <w:t>, עו"ד והנוטריון נפטרו, דבר שמהווה מכשול רב להוכחת טענותיה.</w:t>
      </w:r>
      <w:r>
        <w:rPr>
          <w:rFonts w:ascii="David" w:hAnsi="David"/>
        </w:rPr>
        <w:t xml:space="preserve"> </w:t>
      </w:r>
      <w:r>
        <w:rPr>
          <w:rFonts w:ascii="David" w:hAnsi="David"/>
          <w:rtl/>
        </w:rPr>
        <w:t>עוד לדבריה</w:t>
      </w:r>
      <w:r>
        <w:rPr>
          <w:rFonts w:ascii="David" w:hAnsi="David" w:hint="cs"/>
          <w:rtl/>
        </w:rPr>
        <w:t xml:space="preserve">, </w:t>
      </w:r>
      <w:r>
        <w:rPr>
          <w:rFonts w:ascii="David" w:hAnsi="David"/>
          <w:rtl/>
        </w:rPr>
        <w:t xml:space="preserve">טרם מונה מומחה, </w:t>
      </w:r>
      <w:r>
        <w:rPr>
          <w:rFonts w:ascii="David" w:hAnsi="David" w:hint="cs"/>
          <w:rtl/>
        </w:rPr>
        <w:t xml:space="preserve">וההסכמה לא </w:t>
      </w:r>
      <w:r>
        <w:rPr>
          <w:rFonts w:ascii="David" w:hAnsi="David"/>
          <w:rtl/>
        </w:rPr>
        <w:t>יושמה</w:t>
      </w:r>
      <w:r w:rsidR="00EA34E3" w:rsidRPr="00953FA5">
        <w:rPr>
          <w:rFonts w:ascii="David" w:hAnsi="David"/>
          <w:rtl/>
        </w:rPr>
        <w:t>, כך שאף צד לא נפגע</w:t>
      </w:r>
      <w:r>
        <w:rPr>
          <w:rFonts w:ascii="David" w:hAnsi="David" w:hint="cs"/>
          <w:rtl/>
        </w:rPr>
        <w:t xml:space="preserve">. </w:t>
      </w:r>
      <w:r w:rsidR="00916E56">
        <w:rPr>
          <w:rFonts w:ascii="David" w:hAnsi="David"/>
          <w:rtl/>
        </w:rPr>
        <w:t xml:space="preserve"> </w:t>
      </w:r>
    </w:p>
    <w:p w:rsidR="00DD0513" w:rsidRDefault="00DD0513" w:rsidP="00DD0513">
      <w:pPr>
        <w:pStyle w:val="ad"/>
        <w:spacing w:line="360" w:lineRule="auto"/>
        <w:ind w:left="360"/>
        <w:jc w:val="both"/>
        <w:rPr>
          <w:rFonts w:ascii="David" w:hAnsi="David"/>
        </w:rPr>
      </w:pPr>
    </w:p>
    <w:p w:rsidR="008B50FF" w:rsidRDefault="00916E56" w:rsidP="00AE34A3">
      <w:pPr>
        <w:pStyle w:val="ad"/>
        <w:numPr>
          <w:ilvl w:val="0"/>
          <w:numId w:val="2"/>
        </w:numPr>
        <w:spacing w:line="360" w:lineRule="auto"/>
        <w:jc w:val="both"/>
        <w:rPr>
          <w:rFonts w:ascii="David" w:hAnsi="David"/>
        </w:rPr>
      </w:pPr>
      <w:r>
        <w:rPr>
          <w:rFonts w:ascii="David" w:hAnsi="David"/>
          <w:rtl/>
        </w:rPr>
        <w:lastRenderedPageBreak/>
        <w:t xml:space="preserve"> </w:t>
      </w:r>
      <w:r w:rsidR="008B50FF">
        <w:rPr>
          <w:rFonts w:ascii="David" w:hAnsi="David" w:hint="cs"/>
          <w:rtl/>
        </w:rPr>
        <w:t xml:space="preserve">ראשית, </w:t>
      </w:r>
      <w:r w:rsidR="009C379A">
        <w:rPr>
          <w:rFonts w:ascii="David" w:hAnsi="David" w:hint="cs"/>
          <w:rtl/>
        </w:rPr>
        <w:t xml:space="preserve">כמפורט לעיל, </w:t>
      </w:r>
      <w:r w:rsidR="008B50FF">
        <w:rPr>
          <w:rFonts w:ascii="David" w:hAnsi="David" w:hint="cs"/>
          <w:rtl/>
        </w:rPr>
        <w:t>בקשת התובעת נידונה והוכרעה. בנסיבות אלה, מנועה היא מלעתור באותו סעד פעם נוספת, לבטח מקום בו אין כל שינוי נסיבות. די באמור בכדי להורות על דחיית הבקשה.</w:t>
      </w:r>
    </w:p>
    <w:p w:rsidR="008B50FF" w:rsidRPr="008B50FF" w:rsidRDefault="008B50FF" w:rsidP="008B50FF">
      <w:pPr>
        <w:pStyle w:val="ad"/>
        <w:rPr>
          <w:rFonts w:ascii="David" w:hAnsi="David"/>
          <w:rtl/>
        </w:rPr>
      </w:pPr>
    </w:p>
    <w:p w:rsidR="00EA34E3" w:rsidRPr="00AE34A3" w:rsidRDefault="008B50FF" w:rsidP="00AE34A3">
      <w:pPr>
        <w:pStyle w:val="ad"/>
        <w:numPr>
          <w:ilvl w:val="0"/>
          <w:numId w:val="2"/>
        </w:numPr>
        <w:spacing w:line="360" w:lineRule="auto"/>
        <w:jc w:val="both"/>
        <w:rPr>
          <w:rFonts w:ascii="David" w:hAnsi="David"/>
          <w:rtl/>
        </w:rPr>
      </w:pPr>
      <w:r>
        <w:rPr>
          <w:rFonts w:ascii="David" w:hAnsi="David" w:hint="cs"/>
          <w:rtl/>
        </w:rPr>
        <w:t xml:space="preserve">מבלי לפגוע באמור לעיל, וגם לאחר בחינת הבקשה פעם נוספת, לא מצאתי שיש לעשות כן; </w:t>
      </w:r>
      <w:r w:rsidR="00916E56">
        <w:rPr>
          <w:rFonts w:ascii="David" w:hAnsi="David"/>
          <w:rtl/>
        </w:rPr>
        <w:t>אין חולק</w:t>
      </w:r>
      <w:r w:rsidR="00C30B56">
        <w:rPr>
          <w:rFonts w:ascii="David" w:hAnsi="David" w:hint="cs"/>
          <w:rtl/>
        </w:rPr>
        <w:t xml:space="preserve"> שהצדדים גיבשו את ההסכמה מרצון. </w:t>
      </w:r>
      <w:r w:rsidR="00916E56">
        <w:rPr>
          <w:rFonts w:ascii="David" w:hAnsi="David"/>
          <w:rtl/>
        </w:rPr>
        <w:t xml:space="preserve">הלכה היא </w:t>
      </w:r>
      <w:r w:rsidR="00916E56">
        <w:rPr>
          <w:rFonts w:ascii="David" w:hAnsi="David" w:hint="cs"/>
          <w:rtl/>
        </w:rPr>
        <w:t>ש</w:t>
      </w:r>
      <w:r w:rsidR="00EA34E3" w:rsidRPr="00916E56">
        <w:rPr>
          <w:rFonts w:ascii="David" w:hAnsi="David"/>
          <w:rtl/>
        </w:rPr>
        <w:t xml:space="preserve">הסכמות דיונית יש לכבד ואין להתיר חזרה </w:t>
      </w:r>
      <w:r w:rsidR="00AE34A3">
        <w:rPr>
          <w:rFonts w:ascii="David" w:hAnsi="David" w:hint="cs"/>
          <w:rtl/>
        </w:rPr>
        <w:t xml:space="preserve">מהם, </w:t>
      </w:r>
      <w:r w:rsidR="00C30B56">
        <w:rPr>
          <w:rFonts w:ascii="David" w:hAnsi="David" w:hint="cs"/>
          <w:rtl/>
        </w:rPr>
        <w:t>שכן אלה</w:t>
      </w:r>
      <w:r w:rsidR="00EA34E3" w:rsidRPr="00916E56">
        <w:rPr>
          <w:rFonts w:ascii="David" w:hAnsi="David"/>
          <w:rtl/>
        </w:rPr>
        <w:t xml:space="preserve"> בין היתר נועדו לייעל עשיית משפט. </w:t>
      </w:r>
      <w:r w:rsidR="00C30B56">
        <w:rPr>
          <w:rFonts w:ascii="David" w:hAnsi="David" w:hint="cs"/>
          <w:rtl/>
        </w:rPr>
        <w:t xml:space="preserve">בית המשפט יבחן מתן זכות לחזרה מהסכמה דיונית מקום בו הדבר </w:t>
      </w:r>
      <w:r w:rsidR="00EA34E3" w:rsidRPr="00AE34A3">
        <w:rPr>
          <w:rFonts w:ascii="David" w:hAnsi="David"/>
          <w:rtl/>
        </w:rPr>
        <w:t xml:space="preserve">מוצדק עניינית, הוגן ואין עמו </w:t>
      </w:r>
      <w:r w:rsidR="00C30B56">
        <w:rPr>
          <w:rFonts w:ascii="David" w:hAnsi="David"/>
          <w:rtl/>
        </w:rPr>
        <w:t xml:space="preserve">פגיעה בבעל הדין האחר, אשר </w:t>
      </w:r>
      <w:r w:rsidR="00EA34E3" w:rsidRPr="00AE34A3">
        <w:rPr>
          <w:rFonts w:ascii="David" w:hAnsi="David"/>
          <w:rtl/>
        </w:rPr>
        <w:t>שינה את מצב</w:t>
      </w:r>
      <w:r w:rsidR="00C30B56">
        <w:rPr>
          <w:rFonts w:ascii="David" w:hAnsi="David"/>
          <w:rtl/>
        </w:rPr>
        <w:t xml:space="preserve">ו לרעה על יסוד ההסכמה </w:t>
      </w:r>
      <w:r w:rsidR="00EA34E3" w:rsidRPr="00AE34A3">
        <w:rPr>
          <w:rFonts w:ascii="David" w:hAnsi="David"/>
          <w:rtl/>
        </w:rPr>
        <w:t xml:space="preserve">( ראו דבריו של בית המשפט המחוזי בחיפה במסגרת ע"א (חי' ) 1196/05 </w:t>
      </w:r>
      <w:r w:rsidR="00EA34E3" w:rsidRPr="00AE34A3">
        <w:rPr>
          <w:rFonts w:ascii="David" w:hAnsi="David"/>
          <w:b/>
          <w:bCs/>
          <w:rtl/>
        </w:rPr>
        <w:t>אשרף סובחי מאג'נה נ' עירית אום אל פאחם,</w:t>
      </w:r>
      <w:r w:rsidR="00EA34E3" w:rsidRPr="00AE34A3">
        <w:rPr>
          <w:rFonts w:ascii="David" w:hAnsi="David"/>
          <w:rtl/>
        </w:rPr>
        <w:t xml:space="preserve"> ניתן ביום 26.07.05 אשר הפנה לבש"א (חיפה) 1921/99 </w:t>
      </w:r>
      <w:r w:rsidR="00EA34E3" w:rsidRPr="00AE34A3">
        <w:rPr>
          <w:rFonts w:ascii="David" w:hAnsi="David"/>
          <w:b/>
          <w:bCs/>
          <w:rtl/>
        </w:rPr>
        <w:t>לידאווי מג'ידה נ' הפניקס</w:t>
      </w:r>
      <w:r w:rsidR="00EA34E3" w:rsidRPr="00AE34A3">
        <w:rPr>
          <w:rFonts w:ascii="David" w:hAnsi="David"/>
          <w:rtl/>
        </w:rPr>
        <w:t xml:space="preserve">). </w:t>
      </w:r>
      <w:r w:rsidR="00C30B56">
        <w:rPr>
          <w:rFonts w:ascii="David" w:hAnsi="David" w:hint="cs"/>
          <w:rtl/>
        </w:rPr>
        <w:t xml:space="preserve">בעניינו, מצאתי שאין מקום להידרש לבקשה </w:t>
      </w:r>
      <w:r>
        <w:rPr>
          <w:rFonts w:ascii="David" w:hAnsi="David" w:hint="cs"/>
          <w:rtl/>
        </w:rPr>
        <w:t>מקום בו הדבר אינו מוצדק עניינית</w:t>
      </w:r>
      <w:r w:rsidR="00C30B56">
        <w:rPr>
          <w:rFonts w:ascii="David" w:hAnsi="David" w:hint="cs"/>
          <w:rtl/>
        </w:rPr>
        <w:t xml:space="preserve">, וזאת כפי שפורט בהרחבה בהחלטתי מיום 6.6.20.  </w:t>
      </w:r>
    </w:p>
    <w:p w:rsidR="00EA34E3" w:rsidRDefault="00EA34E3" w:rsidP="009C379A">
      <w:pPr>
        <w:pStyle w:val="ad"/>
        <w:jc w:val="both"/>
        <w:rPr>
          <w:rFonts w:ascii="David" w:hAnsi="David"/>
        </w:rPr>
      </w:pPr>
    </w:p>
    <w:p w:rsidR="00EA34E3" w:rsidRDefault="00C30B56" w:rsidP="0060736B">
      <w:pPr>
        <w:pStyle w:val="ad"/>
        <w:numPr>
          <w:ilvl w:val="0"/>
          <w:numId w:val="2"/>
        </w:numPr>
        <w:spacing w:line="360" w:lineRule="auto"/>
        <w:jc w:val="both"/>
        <w:rPr>
          <w:rFonts w:ascii="David" w:hAnsi="David"/>
        </w:rPr>
      </w:pPr>
      <w:r w:rsidRPr="008B50FF">
        <w:rPr>
          <w:rFonts w:ascii="David" w:hAnsi="David" w:hint="cs"/>
          <w:rtl/>
        </w:rPr>
        <w:t xml:space="preserve">המחלוקת </w:t>
      </w:r>
      <w:r w:rsidR="008B50FF" w:rsidRPr="008B50FF">
        <w:rPr>
          <w:rFonts w:ascii="David" w:hAnsi="David" w:hint="cs"/>
          <w:rtl/>
        </w:rPr>
        <w:t>בעניינו עיקרה בשאלת זיוף. התובעת, אשר לפתחה נטל ההוכחה, לא עתרה להוכי</w:t>
      </w:r>
      <w:r w:rsidR="008B50FF">
        <w:rPr>
          <w:rFonts w:ascii="David" w:hAnsi="David" w:hint="cs"/>
          <w:rtl/>
        </w:rPr>
        <w:t>ח</w:t>
      </w:r>
      <w:r w:rsidR="008B50FF" w:rsidRPr="008B50FF">
        <w:rPr>
          <w:rFonts w:ascii="David" w:hAnsi="David" w:hint="cs"/>
          <w:rtl/>
        </w:rPr>
        <w:t xml:space="preserve"> את הטענה באמצעות עדים. מבלי </w:t>
      </w:r>
      <w:r w:rsidR="00CA5DC6">
        <w:rPr>
          <w:rFonts w:ascii="David" w:hAnsi="David" w:hint="cs"/>
          <w:rtl/>
        </w:rPr>
        <w:t>לפגוע באמור לעיל, הרי ש</w:t>
      </w:r>
      <w:r w:rsidR="008B50FF" w:rsidRPr="008B50FF">
        <w:rPr>
          <w:rFonts w:ascii="David" w:hAnsi="David" w:hint="cs"/>
          <w:rtl/>
        </w:rPr>
        <w:t>אמיתות החתימה, הינה בבחינת שאלה שבמומחיות. אשר על כן, גם מקום בו הצדדים לא עתרו למינוי מומחה, או לא נתנו הסכמתם, סמכות זו נתונה לבית המשפט, כקבוע ב</w:t>
      </w:r>
      <w:r w:rsidR="00EA34E3" w:rsidRPr="008B50FF">
        <w:rPr>
          <w:rFonts w:ascii="David" w:hAnsi="David"/>
          <w:rtl/>
        </w:rPr>
        <w:t>תקנה 25 (א</w:t>
      </w:r>
      <w:r w:rsidR="00CA5DC6">
        <w:rPr>
          <w:rFonts w:ascii="David" w:hAnsi="David"/>
          <w:rtl/>
        </w:rPr>
        <w:t>) לתקנות בית משפט לענייני משפחה</w:t>
      </w:r>
      <w:r w:rsidR="00CA5DC6">
        <w:rPr>
          <w:rFonts w:ascii="David" w:hAnsi="David" w:hint="cs"/>
          <w:rtl/>
        </w:rPr>
        <w:t>. בנסיבות המחלוקת לפניי, מצאתי שיש למנות מומחה, ומכאן, שגם מקום בו אתיר לתובעת לחזור בה מהסכמתה, לא יהיה בכך בכדי לשנות את התוצאה, קרי, שימונה מומחה מטעם בית המשפט</w:t>
      </w:r>
      <w:r w:rsidR="001A5383">
        <w:rPr>
          <w:rFonts w:ascii="David" w:hAnsi="David" w:hint="cs"/>
          <w:rtl/>
        </w:rPr>
        <w:t xml:space="preserve">, בתחום כתבי יד </w:t>
      </w:r>
      <w:r w:rsidR="00CA5DC6">
        <w:rPr>
          <w:rFonts w:ascii="David" w:hAnsi="David" w:hint="cs"/>
          <w:rtl/>
        </w:rPr>
        <w:t xml:space="preserve">. </w:t>
      </w:r>
    </w:p>
    <w:p w:rsidR="001A5383" w:rsidRPr="001A5383" w:rsidRDefault="001A5383" w:rsidP="001A5383">
      <w:pPr>
        <w:pStyle w:val="ad"/>
        <w:rPr>
          <w:rFonts w:ascii="David" w:hAnsi="David"/>
          <w:rtl/>
        </w:rPr>
      </w:pPr>
    </w:p>
    <w:p w:rsidR="001A5383" w:rsidRDefault="001A5383" w:rsidP="00D01B8C">
      <w:pPr>
        <w:pStyle w:val="ad"/>
        <w:numPr>
          <w:ilvl w:val="0"/>
          <w:numId w:val="2"/>
        </w:numPr>
        <w:spacing w:line="360" w:lineRule="auto"/>
        <w:jc w:val="both"/>
        <w:rPr>
          <w:rFonts w:ascii="David" w:hAnsi="David"/>
        </w:rPr>
      </w:pPr>
      <w:r>
        <w:rPr>
          <w:rFonts w:ascii="David" w:hAnsi="David" w:hint="cs"/>
          <w:rtl/>
        </w:rPr>
        <w:t>מכל האמור, הבקשה נדחית במלואה. התובעת תשא בהוצאות הנתבע בגין בקשה זו בסך 2,</w:t>
      </w:r>
      <w:r w:rsidR="009C379A">
        <w:rPr>
          <w:rFonts w:ascii="David" w:hAnsi="David" w:hint="cs"/>
          <w:rtl/>
        </w:rPr>
        <w:t>500</w:t>
      </w:r>
      <w:r>
        <w:rPr>
          <w:rFonts w:ascii="David" w:hAnsi="David" w:hint="cs"/>
          <w:rtl/>
        </w:rPr>
        <w:t xml:space="preserve"> ₪ אשר ישולמו תוך 30 ימים שאם לא כן יישא הסכום הפ</w:t>
      </w:r>
      <w:r w:rsidR="005F0CA7">
        <w:rPr>
          <w:rFonts w:ascii="David" w:hAnsi="David" w:hint="cs"/>
          <w:rtl/>
        </w:rPr>
        <w:t xml:space="preserve">רשי ריבית והצמדה החל המהיום עד ליום התשלום המלא בפועל. </w:t>
      </w:r>
    </w:p>
    <w:p w:rsidR="00FD7D77" w:rsidRPr="00FD7D77" w:rsidRDefault="00FD7D77" w:rsidP="00FD7D77">
      <w:pPr>
        <w:pStyle w:val="ad"/>
        <w:rPr>
          <w:rFonts w:ascii="David" w:hAnsi="David"/>
          <w:rtl/>
        </w:rPr>
      </w:pPr>
    </w:p>
    <w:p w:rsidR="00FD7D77" w:rsidRDefault="00FD7D77" w:rsidP="00FD7D77">
      <w:pPr>
        <w:pStyle w:val="ad"/>
        <w:numPr>
          <w:ilvl w:val="0"/>
          <w:numId w:val="2"/>
        </w:numPr>
        <w:spacing w:line="360" w:lineRule="auto"/>
        <w:jc w:val="both"/>
        <w:rPr>
          <w:rFonts w:ascii="David" w:hAnsi="David"/>
        </w:rPr>
      </w:pPr>
      <w:r>
        <w:rPr>
          <w:rFonts w:ascii="David" w:hAnsi="David" w:hint="cs"/>
          <w:rtl/>
        </w:rPr>
        <w:t xml:space="preserve">הצדדים יגישו הודעה משותפת תוך 7 ימים מסגרתה יודיעו באם קיימת הסכמה לעניין זהות המומחה. לא תוגש, תקבע זהותו על ידי בית המשפט. </w:t>
      </w:r>
    </w:p>
    <w:p w:rsidR="00D45657" w:rsidRDefault="00D45657" w:rsidP="00D45657">
      <w:pPr>
        <w:spacing w:line="360" w:lineRule="auto"/>
        <w:jc w:val="both"/>
        <w:rPr>
          <w:rFonts w:ascii="David" w:hAnsi="David"/>
          <w:rtl/>
        </w:rPr>
      </w:pPr>
    </w:p>
    <w:p w:rsidR="00D45657" w:rsidRPr="00D45657" w:rsidRDefault="00D45657" w:rsidP="00D45657">
      <w:pPr>
        <w:spacing w:line="360" w:lineRule="auto"/>
        <w:jc w:val="both"/>
        <w:rPr>
          <w:rFonts w:ascii="David" w:hAnsi="David"/>
        </w:rPr>
      </w:pPr>
      <w:r>
        <w:rPr>
          <w:rFonts w:ascii="David" w:hAnsi="David" w:hint="cs"/>
          <w:rtl/>
        </w:rPr>
        <w:t xml:space="preserve">ההחלטה מותר בפרסום בהשמטת כל פרט מזהה ובכפוף לתיקוני הגהה. </w:t>
      </w:r>
    </w:p>
    <w:p w:rsidR="00D01B8C" w:rsidRDefault="00EA34E3" w:rsidP="003200A3">
      <w:pPr>
        <w:spacing w:line="360" w:lineRule="auto"/>
        <w:jc w:val="both"/>
        <w:rPr>
          <w:rFonts w:ascii="David" w:hAnsi="David"/>
          <w:rtl/>
        </w:rPr>
      </w:pPr>
      <w:r w:rsidRPr="008E66F1">
        <w:rPr>
          <w:rFonts w:ascii="David" w:hAnsi="David"/>
          <w:b/>
          <w:bCs/>
          <w:u w:val="single"/>
          <w:rtl/>
        </w:rPr>
        <w:t>המזכירות</w:t>
      </w:r>
      <w:r>
        <w:rPr>
          <w:rFonts w:ascii="David" w:hAnsi="David"/>
          <w:rtl/>
        </w:rPr>
        <w:t xml:space="preserve"> תמציא ההחלטה לצדדים</w:t>
      </w:r>
      <w:r>
        <w:rPr>
          <w:rFonts w:ascii="David" w:hAnsi="David" w:hint="cs"/>
          <w:rtl/>
        </w:rPr>
        <w:t>.</w:t>
      </w:r>
    </w:p>
    <w:p w:rsidR="003200A3" w:rsidRDefault="008E66F1" w:rsidP="003200A3">
      <w:pPr>
        <w:spacing w:line="360" w:lineRule="auto"/>
        <w:jc w:val="both"/>
        <w:rPr>
          <w:rFonts w:ascii="Arial" w:hAnsi="Arial"/>
          <w:noProof w:val="0"/>
          <w:rtl/>
        </w:rPr>
      </w:pPr>
      <w:r w:rsidRPr="00D01B8C">
        <w:rPr>
          <w:rFonts w:ascii="Arial" w:hAnsi="Arial"/>
          <w:b/>
          <w:bCs/>
          <w:noProof w:val="0"/>
          <w:rtl/>
        </w:rPr>
        <w:t xml:space="preserve">ניתנה היום, </w:t>
      </w:r>
      <w:sdt>
        <w:sdtPr>
          <w:rPr>
            <w:b/>
            <w:bCs/>
            <w:rtl/>
          </w:rPr>
          <w:alias w:val="1455"/>
          <w:tag w:val="1455"/>
          <w:id w:val="1666048407"/>
          <w:text w:multiLine="1"/>
        </w:sdtPr>
        <w:sdtEndPr/>
        <w:sdtContent>
          <w:r w:rsidRPr="00D01B8C">
            <w:rPr>
              <w:rFonts w:ascii="Arial" w:hAnsi="Arial"/>
              <w:b/>
              <w:bCs/>
              <w:noProof w:val="0"/>
              <w:rtl/>
            </w:rPr>
            <w:t>כ' סיוון תשפ"ד</w:t>
          </w:r>
        </w:sdtContent>
      </w:sdt>
      <w:r w:rsidRPr="00D01B8C">
        <w:rPr>
          <w:rFonts w:ascii="Arial" w:hAnsi="Arial"/>
          <w:b/>
          <w:bCs/>
          <w:noProof w:val="0"/>
          <w:rtl/>
        </w:rPr>
        <w:t xml:space="preserve">, </w:t>
      </w:r>
      <w:sdt>
        <w:sdtPr>
          <w:rPr>
            <w:b/>
            <w:bCs/>
            <w:rtl/>
          </w:rPr>
          <w:alias w:val="1456"/>
          <w:tag w:val="1456"/>
          <w:id w:val="-1186288958"/>
          <w:text w:multiLine="1"/>
        </w:sdtPr>
        <w:sdtEndPr/>
        <w:sdtContent>
          <w:r w:rsidRPr="00D01B8C">
            <w:rPr>
              <w:rFonts w:ascii="Arial" w:hAnsi="Arial"/>
              <w:b/>
              <w:bCs/>
              <w:noProof w:val="0"/>
              <w:rtl/>
            </w:rPr>
            <w:t>26 יוני 2024</w:t>
          </w:r>
        </w:sdtContent>
      </w:sdt>
      <w:r w:rsidRPr="00D01B8C">
        <w:rPr>
          <w:rFonts w:ascii="Arial" w:hAnsi="Arial"/>
          <w:b/>
          <w:bCs/>
          <w:noProof w:val="0"/>
          <w:rtl/>
        </w:rPr>
        <w:t>, בהעדר הצדדים.</w:t>
      </w:r>
      <w:r w:rsidR="003200A3">
        <w:rPr>
          <w:rFonts w:ascii="Arial" w:hAnsi="Arial" w:hint="cs"/>
          <w:noProof w:val="0"/>
          <w:rtl/>
        </w:rPr>
        <w:tab/>
      </w:r>
      <w:r w:rsidR="003200A3">
        <w:rPr>
          <w:rFonts w:ascii="Arial" w:hAnsi="Arial" w:hint="cs"/>
          <w:noProof w:val="0"/>
          <w:rtl/>
        </w:rPr>
        <w:tab/>
      </w:r>
      <w:r w:rsidR="003200A3">
        <w:rPr>
          <w:rFonts w:ascii="Arial" w:hAnsi="Arial" w:hint="cs"/>
          <w:noProof w:val="0"/>
          <w:rtl/>
        </w:rPr>
        <w:tab/>
      </w:r>
      <w:r w:rsidR="003200A3">
        <w:rPr>
          <w:rFonts w:ascii="Arial" w:hAnsi="Arial" w:hint="cs"/>
          <w:noProof w:val="0"/>
          <w:rtl/>
        </w:rPr>
        <w:tab/>
      </w:r>
      <w:sdt>
        <w:sdtPr>
          <w:rPr>
            <w:rFonts w:ascii="Arial" w:hAnsi="Arial" w:hint="cs"/>
            <w:noProof w:val="0"/>
            <w:rtl/>
          </w:rPr>
          <w:alias w:val="2045"/>
          <w:tag w:val="2045"/>
          <w:id w:val="1736736771"/>
          <w:placeholder>
            <w:docPart w:val="A1A2545E23674204B4F91A8C343F3CBE"/>
          </w:placeholder>
          <w:showingPlcHdr/>
          <w:text w:multiLine="1"/>
        </w:sdtPr>
        <w:sdtEndPr/>
        <w:sdtContent/>
      </w:sdt>
      <w:r w:rsidR="003200A3">
        <w:rPr>
          <w:rFonts w:ascii="Arial" w:hAnsi="Arial" w:hint="cs"/>
          <w:noProof w:val="0"/>
          <w:rtl/>
        </w:rPr>
        <w:tab/>
      </w:r>
      <w:r w:rsidR="003200A3">
        <w:rPr>
          <w:rFonts w:ascii="Arial" w:hAnsi="Arial" w:hint="cs"/>
          <w:noProof w:val="0"/>
          <w:rtl/>
        </w:rPr>
        <w:tab/>
      </w:r>
      <w:r w:rsidR="003200A3">
        <w:rPr>
          <w:rFonts w:ascii="Arial" w:hAnsi="Arial"/>
          <w:noProof w:val="0"/>
          <w:rtl/>
        </w:rPr>
        <w:t xml:space="preserve"> </w:t>
      </w:r>
    </w:p>
    <w:p w:rsidR="009C379A" w:rsidRPr="008E66F1" w:rsidRDefault="00125C53" w:rsidP="003200A3">
      <w:pPr>
        <w:spacing w:line="360" w:lineRule="auto"/>
        <w:ind w:left="5040" w:firstLine="720"/>
        <w:jc w:val="both"/>
        <w:rPr>
          <w:rFonts w:ascii="David" w:hAnsi="David"/>
          <w:rtl/>
        </w:rPr>
      </w:pPr>
      <w:sdt>
        <w:sdtPr>
          <w:rPr>
            <w:rtl/>
          </w:rPr>
          <w:alias w:val="MergeField"/>
          <w:tag w:val="1237"/>
          <w:id w:val="636620544"/>
        </w:sdtPr>
        <w:sdtEndPr/>
        <w:sdtContent>
          <w:r w:rsidR="003200A3">
            <w:drawing>
              <wp:inline distT="0" distB="0" distL="0" distR="0" wp14:anchorId="5C8E5983" wp14:editId="5C0CD453">
                <wp:extent cx="1333500" cy="8382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33500" cy="838200"/>
                        </a:xfrm>
                        <a:prstGeom prst="rect">
                          <a:avLst/>
                        </a:prstGeom>
                      </pic:spPr>
                    </pic:pic>
                  </a:graphicData>
                </a:graphic>
              </wp:inline>
            </w:drawing>
          </w:r>
        </w:sdtContent>
      </w:sdt>
    </w:p>
    <w:sectPr w:rsidR="009C379A" w:rsidRPr="008E66F1"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C53" w:rsidRDefault="00125C53">
      <w:r>
        <w:separator/>
      </w:r>
    </w:p>
  </w:endnote>
  <w:endnote w:type="continuationSeparator" w:id="0">
    <w:p w:rsidR="00125C53" w:rsidRDefault="00125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632" w:rsidRDefault="009F263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F263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F2632">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632" w:rsidRDefault="009F263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C53" w:rsidRDefault="00125C53">
      <w:r>
        <w:separator/>
      </w:r>
    </w:p>
  </w:footnote>
  <w:footnote w:type="continuationSeparator" w:id="0">
    <w:p w:rsidR="00125C53" w:rsidRDefault="00125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632" w:rsidRDefault="009F263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FE715A">
      <w:trPr>
        <w:trHeight w:hRule="exact" w:val="426"/>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rsidTr="00FE715A">
      <w:trPr>
        <w:trHeight w:val="337"/>
        <w:jc w:val="center"/>
      </w:trPr>
      <w:tc>
        <w:tcPr>
          <w:tcW w:w="8505" w:type="dxa"/>
        </w:tcPr>
        <w:p w:rsidR="007D45E3" w:rsidRPr="00FE715A" w:rsidRDefault="00125C53" w:rsidP="00D01B8C">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064651">
                <w:rPr>
                  <w:b/>
                  <w:bCs/>
                  <w:noProof w:val="0"/>
                  <w:sz w:val="26"/>
                  <w:szCs w:val="26"/>
                  <w:rtl/>
                </w:rPr>
                <w:t>58276-10-20</w:t>
              </w:r>
            </w:sdtContent>
          </w:sdt>
          <w:bookmarkEnd w:id="0"/>
          <w:r w:rsidR="00005C8B">
            <w:rPr>
              <w:b/>
              <w:bCs/>
              <w:noProof w:val="0"/>
              <w:sz w:val="26"/>
              <w:szCs w:val="26"/>
              <w:rtl/>
            </w:rPr>
            <w:t xml:space="preserve"> </w:t>
          </w:r>
          <w:sdt>
            <w:sdtPr>
              <w:rPr>
                <w:rtl/>
              </w:rPr>
              <w:alias w:val="1172"/>
              <w:tag w:val="1172"/>
              <w:id w:val="-595170033"/>
              <w:text w:multiLine="1"/>
            </w:sdtPr>
            <w:sdtEndPr/>
            <w:sdtContent>
              <w:r w:rsidR="00D01B8C">
                <w:rPr>
                  <w:rFonts w:hint="cs"/>
                  <w:b/>
                  <w:bCs/>
                  <w:noProof w:val="0"/>
                  <w:sz w:val="26"/>
                  <w:szCs w:val="26"/>
                  <w:rtl/>
                </w:rPr>
                <w:t xml:space="preserve">פלונית נ' אלמוני </w:t>
              </w:r>
              <w:r w:rsidR="00064651">
                <w:rPr>
                  <w:b/>
                  <w:bCs/>
                  <w:noProof w:val="0"/>
                  <w:sz w:val="26"/>
                  <w:szCs w:val="26"/>
                  <w:rtl/>
                </w:rPr>
                <w:t>ואח'</w:t>
              </w:r>
            </w:sdtContent>
          </w:sdt>
          <w:r w:rsidR="007D45E3">
            <w:rPr>
              <w:rFonts w:hint="cs"/>
              <w:rtl/>
            </w:rPr>
            <w:t xml:space="preserve">                       </w:t>
          </w:r>
          <w:r w:rsidR="007D45E3">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632" w:rsidRDefault="009F263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03AC4"/>
    <w:multiLevelType w:val="hybridMultilevel"/>
    <w:tmpl w:val="5D5C0A54"/>
    <w:lvl w:ilvl="0" w:tplc="7D7C9F3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5884C2E"/>
    <w:multiLevelType w:val="hybridMultilevel"/>
    <w:tmpl w:val="55A897E8"/>
    <w:lvl w:ilvl="0" w:tplc="B55C27B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819529"/>
    <w:docVar w:name="CourtID" w:val="2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7819529&amp;lt;/CaseID&amp;gt;_x000d__x000a_        &amp;lt;DocumentID&amp;gt;446994554&amp;lt;/DocumentID&amp;gt;_x000d__x000a_      &amp;lt;/dt_DocumentCase&amp;gt;_x000d__x000a_      &amp;lt;dt_Document diffgr:id=&amp;quot;dt_Document1&amp;quot; msdata:rowOrder=&amp;quot;0&amp;quot;&amp;gt;_x000d__x000a_        &amp;lt;DocumentID&amp;gt;446994554&amp;lt;/DocumentID&amp;gt;_x000d__x000a_        &amp;lt;DocumentMainID&amp;gt;0&amp;lt;/DocumentMainID&amp;gt;_x000d__x000a_        &amp;lt;CaseID&amp;gt;77819529&amp;lt;/CaseID&amp;gt;_x000d__x000a_        &amp;lt;DocumentIncludedDate&amp;gt;2024-06-26T12:59:10.193+03:00&amp;lt;/DocumentIncludedDate&amp;gt;_x000d__x000a_        &amp;lt;DocumentDesc&amp;gt;החלטה  שניתנה ע&amp;quot;י  ליאת דהן חיון&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06-26T12:59:10.193+03:00&amp;lt;/DocumentSavingDate&amp;gt;_x000d__x000a_        &amp;lt;DocumentChangeDate&amp;gt;2024-06-26T12:59:10.27+03:00&amp;lt;/DocumentChangeDate&amp;gt;_x000d__x000a_        &amp;lt;IsScanned&amp;gt;false&amp;lt;/IsScanned&amp;gt;_x000d__x000a_        &amp;lt;PageQuantity&amp;gt;0&amp;lt;/PageQuantity&amp;gt;_x000d__x000a_        &amp;lt;DocumentStatusID&amp;gt;2&amp;lt;/DocumentStatusID&amp;gt;_x000d__x000a_        &amp;lt;DocumentStatusChangeDate&amp;gt;2024-06-26T12:59:10.27+03:00&amp;lt;/DocumentStatusChangeDate&amp;gt;_x000d__x000a_        &amp;lt;TemplateVersionID&amp;gt;1&amp;lt;/TemplateVersionID&amp;gt;_x000d__x000a_        &amp;lt;DocumentChangeUserID&amp;gt;036317956@GOV.IL&amp;lt;/DocumentChangeUserID&amp;gt;_x000d__x000a_        &amp;lt;DocumentCreationUserID&amp;gt;036317956@GOV.IL&amp;lt;/DocumentCreationUserID&amp;gt;_x000d__x000a_        &amp;lt;OriginalDocumentID&amp;gt;443886639&amp;lt;/OriginalDocumentID&amp;gt;_x000d__x000a_        &amp;lt;PrivillegeID&amp;gt;2&amp;lt;/PrivillegeID&amp;gt;_x000d__x000a_        &amp;lt;FromPage&amp;gt;0&amp;lt;/FromPage&amp;gt;_x000d__x000a_        &amp;lt;ToPage&amp;gt;0&amp;lt;/ToPage&amp;gt;_x000d__x000a_        &amp;lt;FileID&amp;gt;4f1efc5390010000090037f6aa7a1124&amp;lt;/FileID&amp;gt;_x000d__x000a_        &amp;lt;URL&amp;gt;\\CTLNFSV02\doc_repository\196\602\ba814d2f5b9b47868ef525f98a526272_copy.docx&amp;lt;/URL&amp;gt;_x000d__x000a_        &amp;lt;OlivePriority&amp;gt;1&amp;lt;/OlivePriority&amp;gt;_x000d__x000a_        &amp;lt;MetaDataTypeID&amp;gt;1&amp;lt;/MetaDataTypeID&amp;gt;_x000d__x000a_        &amp;lt;MetaDataChangeDate&amp;gt;2024-06-26T12:59:10.2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ליאת דהן חיון&amp;amp;lt;/anyType&amp;amp;gt;_x000d__x000a_    &amp;amp;lt;anyType xsi:type=&amp;quot;xsd:dateTime&amp;quot;&amp;amp;gt;2024-06-26T12:58:52.5020035&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6-26T12:58:52.50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229A1"/>
    <w:rsid w:val="000351A4"/>
    <w:rsid w:val="0003619E"/>
    <w:rsid w:val="000529D2"/>
    <w:rsid w:val="000564AB"/>
    <w:rsid w:val="00064651"/>
    <w:rsid w:val="00064FBD"/>
    <w:rsid w:val="000655DC"/>
    <w:rsid w:val="00082AB2"/>
    <w:rsid w:val="000906FE"/>
    <w:rsid w:val="00096AF7"/>
    <w:rsid w:val="000B344B"/>
    <w:rsid w:val="000C3B0F"/>
    <w:rsid w:val="000C3B60"/>
    <w:rsid w:val="000E0DD2"/>
    <w:rsid w:val="000E1870"/>
    <w:rsid w:val="000E3AF1"/>
    <w:rsid w:val="000F0BC8"/>
    <w:rsid w:val="000F0DD6"/>
    <w:rsid w:val="00107E6D"/>
    <w:rsid w:val="0011194C"/>
    <w:rsid w:val="0011424C"/>
    <w:rsid w:val="001173C6"/>
    <w:rsid w:val="00125C53"/>
    <w:rsid w:val="001367BC"/>
    <w:rsid w:val="00144D2A"/>
    <w:rsid w:val="0014653E"/>
    <w:rsid w:val="00180519"/>
    <w:rsid w:val="00191C82"/>
    <w:rsid w:val="001A5383"/>
    <w:rsid w:val="001C4003"/>
    <w:rsid w:val="001D4DBF"/>
    <w:rsid w:val="001E23DD"/>
    <w:rsid w:val="001E75CA"/>
    <w:rsid w:val="0020239D"/>
    <w:rsid w:val="002265FF"/>
    <w:rsid w:val="00227E4D"/>
    <w:rsid w:val="00234943"/>
    <w:rsid w:val="00271B56"/>
    <w:rsid w:val="0028443A"/>
    <w:rsid w:val="0028571F"/>
    <w:rsid w:val="002A5B6B"/>
    <w:rsid w:val="002C344E"/>
    <w:rsid w:val="002C3F4A"/>
    <w:rsid w:val="002E75E9"/>
    <w:rsid w:val="00307A6A"/>
    <w:rsid w:val="00307C40"/>
    <w:rsid w:val="003200A3"/>
    <w:rsid w:val="00320433"/>
    <w:rsid w:val="003230C7"/>
    <w:rsid w:val="00327E50"/>
    <w:rsid w:val="00333800"/>
    <w:rsid w:val="0033597A"/>
    <w:rsid w:val="00343D89"/>
    <w:rsid w:val="00362612"/>
    <w:rsid w:val="003639C4"/>
    <w:rsid w:val="0036743F"/>
    <w:rsid w:val="003715DD"/>
    <w:rsid w:val="003811BD"/>
    <w:rsid w:val="003823E0"/>
    <w:rsid w:val="003A4521"/>
    <w:rsid w:val="003D1C8C"/>
    <w:rsid w:val="0040096C"/>
    <w:rsid w:val="00414F1F"/>
    <w:rsid w:val="00424247"/>
    <w:rsid w:val="0043125D"/>
    <w:rsid w:val="0043502B"/>
    <w:rsid w:val="004443AC"/>
    <w:rsid w:val="00444B02"/>
    <w:rsid w:val="004473C2"/>
    <w:rsid w:val="00451E28"/>
    <w:rsid w:val="00462C62"/>
    <w:rsid w:val="00465D36"/>
    <w:rsid w:val="004B6825"/>
    <w:rsid w:val="004C17EE"/>
    <w:rsid w:val="004C4BDF"/>
    <w:rsid w:val="004D1187"/>
    <w:rsid w:val="004D3AA0"/>
    <w:rsid w:val="004E1987"/>
    <w:rsid w:val="004E2886"/>
    <w:rsid w:val="004E2E15"/>
    <w:rsid w:val="004E6E3C"/>
    <w:rsid w:val="005006A4"/>
    <w:rsid w:val="00520898"/>
    <w:rsid w:val="00523621"/>
    <w:rsid w:val="00524986"/>
    <w:rsid w:val="005268F6"/>
    <w:rsid w:val="00534284"/>
    <w:rsid w:val="00547DB7"/>
    <w:rsid w:val="0058388E"/>
    <w:rsid w:val="005C1D03"/>
    <w:rsid w:val="005F0CA7"/>
    <w:rsid w:val="005F4F09"/>
    <w:rsid w:val="0060736B"/>
    <w:rsid w:val="0061431B"/>
    <w:rsid w:val="00622BAA"/>
    <w:rsid w:val="006306CF"/>
    <w:rsid w:val="00644E9A"/>
    <w:rsid w:val="00671BD5"/>
    <w:rsid w:val="006721DF"/>
    <w:rsid w:val="006805C1"/>
    <w:rsid w:val="00686C21"/>
    <w:rsid w:val="006931C1"/>
    <w:rsid w:val="00694556"/>
    <w:rsid w:val="006C30C5"/>
    <w:rsid w:val="006C4820"/>
    <w:rsid w:val="006D3B31"/>
    <w:rsid w:val="006E0D96"/>
    <w:rsid w:val="006E1A53"/>
    <w:rsid w:val="006F56E6"/>
    <w:rsid w:val="00704EDA"/>
    <w:rsid w:val="00721122"/>
    <w:rsid w:val="00731881"/>
    <w:rsid w:val="00753019"/>
    <w:rsid w:val="00754801"/>
    <w:rsid w:val="00761441"/>
    <w:rsid w:val="007679A9"/>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B50FF"/>
    <w:rsid w:val="008C5714"/>
    <w:rsid w:val="008D10B2"/>
    <w:rsid w:val="008E66F1"/>
    <w:rsid w:val="008F2508"/>
    <w:rsid w:val="008F5830"/>
    <w:rsid w:val="00903896"/>
    <w:rsid w:val="00906F3D"/>
    <w:rsid w:val="00916E56"/>
    <w:rsid w:val="00931B1D"/>
    <w:rsid w:val="0094424E"/>
    <w:rsid w:val="00946020"/>
    <w:rsid w:val="00953FA5"/>
    <w:rsid w:val="00955642"/>
    <w:rsid w:val="009622DF"/>
    <w:rsid w:val="0096493F"/>
    <w:rsid w:val="00967DFF"/>
    <w:rsid w:val="00994341"/>
    <w:rsid w:val="00996935"/>
    <w:rsid w:val="009B133F"/>
    <w:rsid w:val="009C379A"/>
    <w:rsid w:val="009D1A48"/>
    <w:rsid w:val="009E1CE7"/>
    <w:rsid w:val="009E4EA5"/>
    <w:rsid w:val="009F164B"/>
    <w:rsid w:val="009F2632"/>
    <w:rsid w:val="009F323C"/>
    <w:rsid w:val="00A23CEF"/>
    <w:rsid w:val="00A3392B"/>
    <w:rsid w:val="00A6763A"/>
    <w:rsid w:val="00A85E34"/>
    <w:rsid w:val="00A94B64"/>
    <w:rsid w:val="00A95437"/>
    <w:rsid w:val="00AA3229"/>
    <w:rsid w:val="00AA7596"/>
    <w:rsid w:val="00AB5E52"/>
    <w:rsid w:val="00AC1527"/>
    <w:rsid w:val="00AC30D6"/>
    <w:rsid w:val="00AC3B02"/>
    <w:rsid w:val="00AC3B7B"/>
    <w:rsid w:val="00AC5209"/>
    <w:rsid w:val="00AD1A3E"/>
    <w:rsid w:val="00AE0E34"/>
    <w:rsid w:val="00AE34A3"/>
    <w:rsid w:val="00AE729E"/>
    <w:rsid w:val="00AE7752"/>
    <w:rsid w:val="00AF17EE"/>
    <w:rsid w:val="00AF7FDA"/>
    <w:rsid w:val="00B05F68"/>
    <w:rsid w:val="00B10803"/>
    <w:rsid w:val="00B5356E"/>
    <w:rsid w:val="00B809AD"/>
    <w:rsid w:val="00B80CBD"/>
    <w:rsid w:val="00B86096"/>
    <w:rsid w:val="00B92744"/>
    <w:rsid w:val="00B964D9"/>
    <w:rsid w:val="00BA0A7C"/>
    <w:rsid w:val="00BA11F0"/>
    <w:rsid w:val="00BA517C"/>
    <w:rsid w:val="00BB3D05"/>
    <w:rsid w:val="00BB73BE"/>
    <w:rsid w:val="00BC2000"/>
    <w:rsid w:val="00BC2D89"/>
    <w:rsid w:val="00BD1B7F"/>
    <w:rsid w:val="00BD6531"/>
    <w:rsid w:val="00BE05B2"/>
    <w:rsid w:val="00BF1908"/>
    <w:rsid w:val="00C00804"/>
    <w:rsid w:val="00C11B9D"/>
    <w:rsid w:val="00C13213"/>
    <w:rsid w:val="00C22A1C"/>
    <w:rsid w:val="00C22D93"/>
    <w:rsid w:val="00C23458"/>
    <w:rsid w:val="00C30B56"/>
    <w:rsid w:val="00C31120"/>
    <w:rsid w:val="00C34482"/>
    <w:rsid w:val="00C43648"/>
    <w:rsid w:val="00C50A9F"/>
    <w:rsid w:val="00C642FA"/>
    <w:rsid w:val="00C7148E"/>
    <w:rsid w:val="00C82CDB"/>
    <w:rsid w:val="00C851DF"/>
    <w:rsid w:val="00C85AF6"/>
    <w:rsid w:val="00C918DC"/>
    <w:rsid w:val="00CA5DC6"/>
    <w:rsid w:val="00CC7622"/>
    <w:rsid w:val="00CD608F"/>
    <w:rsid w:val="00CF6BB7"/>
    <w:rsid w:val="00D01B8C"/>
    <w:rsid w:val="00D04AA4"/>
    <w:rsid w:val="00D27982"/>
    <w:rsid w:val="00D32A88"/>
    <w:rsid w:val="00D33B86"/>
    <w:rsid w:val="00D44968"/>
    <w:rsid w:val="00D45657"/>
    <w:rsid w:val="00D53924"/>
    <w:rsid w:val="00D55D0C"/>
    <w:rsid w:val="00D96D8C"/>
    <w:rsid w:val="00DA6649"/>
    <w:rsid w:val="00DC1259"/>
    <w:rsid w:val="00DC1BD2"/>
    <w:rsid w:val="00DC2571"/>
    <w:rsid w:val="00DC487C"/>
    <w:rsid w:val="00DD0513"/>
    <w:rsid w:val="00DE1E7D"/>
    <w:rsid w:val="00DE6BF6"/>
    <w:rsid w:val="00E04E84"/>
    <w:rsid w:val="00E1068A"/>
    <w:rsid w:val="00E17D9C"/>
    <w:rsid w:val="00E25884"/>
    <w:rsid w:val="00E25B55"/>
    <w:rsid w:val="00E31C2B"/>
    <w:rsid w:val="00E42B42"/>
    <w:rsid w:val="00E5426A"/>
    <w:rsid w:val="00E54642"/>
    <w:rsid w:val="00E54CD9"/>
    <w:rsid w:val="00E80CBE"/>
    <w:rsid w:val="00E962E3"/>
    <w:rsid w:val="00EA34E3"/>
    <w:rsid w:val="00EB6C79"/>
    <w:rsid w:val="00EC31E6"/>
    <w:rsid w:val="00EC37E9"/>
    <w:rsid w:val="00EC5692"/>
    <w:rsid w:val="00F038D8"/>
    <w:rsid w:val="00F06995"/>
    <w:rsid w:val="00F13623"/>
    <w:rsid w:val="00F44D1D"/>
    <w:rsid w:val="00F45CE0"/>
    <w:rsid w:val="00F84B6D"/>
    <w:rsid w:val="00F957E8"/>
    <w:rsid w:val="00FA311A"/>
    <w:rsid w:val="00FA5FDA"/>
    <w:rsid w:val="00FA6B5A"/>
    <w:rsid w:val="00FB6AB3"/>
    <w:rsid w:val="00FD1419"/>
    <w:rsid w:val="00FD55E5"/>
    <w:rsid w:val="00FD79E4"/>
    <w:rsid w:val="00FD7D77"/>
    <w:rsid w:val="00FE2818"/>
    <w:rsid w:val="00FE2894"/>
    <w:rsid w:val="00FE715A"/>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paragraph" w:styleId="ad">
    <w:name w:val="List Paragraph"/>
    <w:basedOn w:val="a"/>
    <w:uiPriority w:val="34"/>
    <w:qFormat/>
    <w:rsid w:val="004E2886"/>
    <w:pPr>
      <w:ind w:left="720"/>
      <w:contextualSpacing/>
    </w:pPr>
  </w:style>
  <w:style w:type="table" w:customStyle="1" w:styleId="10">
    <w:name w:val="רשת טבלה1"/>
    <w:basedOn w:val="a1"/>
    <w:rsid w:val="004E2886"/>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161593">
      <w:bodyDiv w:val="1"/>
      <w:marLeft w:val="0"/>
      <w:marRight w:val="0"/>
      <w:marTop w:val="0"/>
      <w:marBottom w:val="0"/>
      <w:divBdr>
        <w:top w:val="none" w:sz="0" w:space="0" w:color="auto"/>
        <w:left w:val="none" w:sz="0" w:space="0" w:color="auto"/>
        <w:bottom w:val="none" w:sz="0" w:space="0" w:color="auto"/>
        <w:right w:val="none" w:sz="0" w:space="0" w:color="auto"/>
      </w:divBdr>
    </w:div>
    <w:div w:id="676688627">
      <w:bodyDiv w:val="1"/>
      <w:marLeft w:val="0"/>
      <w:marRight w:val="0"/>
      <w:marTop w:val="0"/>
      <w:marBottom w:val="0"/>
      <w:divBdr>
        <w:top w:val="none" w:sz="0" w:space="0" w:color="auto"/>
        <w:left w:val="none" w:sz="0" w:space="0" w:color="auto"/>
        <w:bottom w:val="none" w:sz="0" w:space="0" w:color="auto"/>
        <w:right w:val="none" w:sz="0" w:space="0" w:color="auto"/>
      </w:divBdr>
    </w:div>
    <w:div w:id="85075307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1A2545E23674204B4F91A8C343F3CBE"/>
        <w:category>
          <w:name w:val="כללי"/>
          <w:gallery w:val="placeholder"/>
        </w:category>
        <w:types>
          <w:type w:val="bbPlcHdr"/>
        </w:types>
        <w:behaviors>
          <w:behavior w:val="content"/>
        </w:behaviors>
        <w:guid w:val="{92D0A4BD-31F8-4C7A-B68F-7B81E50C12AA}"/>
      </w:docPartPr>
      <w:docPartBody>
        <w:p w:rsidR="00153824" w:rsidRDefault="00AF6192" w:rsidP="00AF6192">
          <w:pPr>
            <w:pStyle w:val="A1A2545E23674204B4F91A8C343F3CBE"/>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192"/>
    <w:rsid w:val="00153824"/>
    <w:rsid w:val="009E2E31"/>
    <w:rsid w:val="00AF6192"/>
    <w:rsid w:val="00BF3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F6192"/>
    <w:rPr>
      <w:color w:val="808080"/>
    </w:rPr>
  </w:style>
  <w:style w:type="paragraph" w:customStyle="1" w:styleId="A1A2545E23674204B4F91A8C343F3CBE">
    <w:name w:val="A1A2545E23674204B4F91A8C343F3CBE"/>
    <w:rsid w:val="00AF619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77819529</CaseID>
    <CaseJudicialPersonPresentationDS>
      <CaseJudicalPersonActive>
        <CaseID>77819529</CaseID>
        <JudicialPersonID>036317956@GOV.IL</JudicialPersonID>
        <JudicialPersonTypeID>1</JudicialPersonTypeID>
        <JudicialTypeID>1</JudicialTypeID>
        <IsChairman>false</IsChairman>
        <TreatmentStartDate>2021-09-02T10:13:56.43+03:00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תמארה מור</FullName>
        <FirstName>תמארה</FirstName>
        <LastName>מור</LastName>
        <PartyPropertyName/>
        <AuthenticationTypeAndNumber>מ.ר. 37401</AuthenticationTypeAndNumber>
        <RepresentatedOrRepresentativesNames>ג'ורג'ת מור</RepresentatedOrRepresentativesNames>
        <RepresentatedOrRepresentativesCount>1</RepresentatedOrRepresentativesCount>
        <InvitedBy/>
        <CaseID>77819529</CaseID>
        <CaseJudicialPersonPresentationDS>
          <CaseJudicalPersonActive>
            <CaseID>77819529</CaseID>
            <JudicialPersonID>036317956@GOV.IL</JudicialPersonID>
            <JudicialPersonTypeID>1</JudicialPersonTypeID>
            <JudicialTypeID>1</JudicialTypeID>
            <IsChairman>false</IsChairman>
            <TreatmentStartDate>2021-09-02T10:13:56.43+03:00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228119479</CasePartyID>
        <PartyTypeID>2</PartyTypeID>
        <ActivityStatusID>1</ActivityStatusID>
        <PartyAliasID>20</PartyAliasID>
        <PartyAliasName>בא כוח תובעים</PartyAliasName>
        <LegalEntityID>408460</LegalEntityID>
        <CaseLegalEntityID>115798457</CaseLegalEntityID>
        <AuthenticationTypeID>4</AuthenticationTypeID>
        <AuthenticationTypeName>מ.ר.</AuthenticationTypeName>
        <LegalEntityNumber>37401</LegalEntityNumber>
        <IsMainPartyType>true</IsMainPartyType>
        <CaseDisplayIdentifier>58276-10-20</CaseDisplayIdentifier>
        <CaseTypeID>15</CaseTypeID>
        <CaseTypeName>תיק משפחה (תמ"ש)</CaseTypeName>
        <CaseName>מור נ' גבור ואח'</CaseName>
        <FullAddress>15/152 שפרעם </FullAddress>
        <EmailAddress>mourtamara@yahoo.it</EmailAddress>
        <MotionID>0</MotionID>
        <CasePleaID>0</CasePleaID>
        <FatherName xml:space="preserve">        </FatherName>
        <LinkedCaseID>0</LinkedCaseID>
        <PartyID>1</PartyID>
        <CasePartyCategoryID>2</CasePartyCategoryID>
        <LegalEntityAddressID>451442</LegalEntityAddressID>
        <LegalEntityEmailAddressID>67943875</LegalEntityEmailAddressID>
        <PleaTypeID>4</PleaTypeID>
        <LawyerOfficeName>משרד עו"ד: תמארה מור</LawyerOfficeName>
        <LawyerOfficeID>449104</LawyerOfficeID>
        <GroupPartyAlias/>
        <IsConverted>false</IsConverted>
        <LegalEntityNameID>29444</LegalEntityNameID>
        <RepresentatedNamesOfAssistant/>
        <LegalEntityTypeID>4</LegalEntityTypeID>
        <IsVerdictExists>false</IsVerdictExists>
        <IsAsirAzir>false</IsAsirAzir>
        <IsPublicationProhibited>false</IsPublicationProhibited>
        <PublicationProhibitedFullName>תמארה מור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מונסף שלח</FullName>
        <FirstName>מונסף</FirstName>
        <LastName>שלח</LastName>
        <PartyPropertyName/>
        <AuthenticationTypeAndNumber>מ.ר. 28645</AuthenticationTypeAndNumber>
        <RepresentatedOrRepresentativesNames>ג'ורג'ת מור</RepresentatedOrRepresentativesNames>
        <RepresentatedOrRepresentativesCount>1</RepresentatedOrRepresentativesCount>
        <InvitedBy/>
        <CaseID>77819529</CaseID>
        <CaseJudicialPersonPresentationDS>
          <CaseJudicalPersonActive>
            <CaseID>77819529</CaseID>
            <JudicialPersonID>036317956@GOV.IL</JudicialPersonID>
            <JudicialPersonTypeID>1</JudicialPersonTypeID>
            <JudicialTypeID>1</JudicialTypeID>
            <IsChairman>false</IsChairman>
            <TreatmentStartDate>2021-09-02T10:13:56.43+03:00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240202379</CasePartyID>
        <PartyTypeID>2</PartyTypeID>
        <ActivityStatusID>1</ActivityStatusID>
        <PartyAliasID>20</PartyAliasID>
        <PartyAliasName>בא כוח תובעים</PartyAliasName>
        <LegalEntityID>404319</LegalEntityID>
        <CaseLegalEntityID>119519780</CaseLegalEntityID>
        <AuthenticationTypeID>4</AuthenticationTypeID>
        <AuthenticationTypeName>מ.ר.</AuthenticationTypeName>
        <LegalEntityNumber>28645</LegalEntityNumber>
        <IsMainPartyType>true</IsMainPartyType>
        <CaseDisplayIdentifier>58276-10-20</CaseDisplayIdentifier>
        <CaseTypeID>15</CaseTypeID>
        <CaseTypeName>תיק משפחה (תמ"ש)</CaseTypeName>
        <CaseName>מור נ' גבור ואח'</CaseName>
        <FullAddress>אזור התעשייה שפרעם ת"ד 186</FullAddress>
        <EmailAddress>monsef.shalah@gmail.com </EmailAddress>
        <MotionID>0</MotionID>
        <CasePleaID>0</CasePleaID>
        <FatherName xml:space="preserve">        </FatherName>
        <LinkedCaseID>0</LinkedCaseID>
        <PartyID>1</PartyID>
        <CasePartyCategoryID>2</CasePartyCategoryID>
        <LegalEntityAddressID>76837562</LegalEntityAddressID>
        <LegalEntityEmailAddressID>67962427</LegalEntityEmailAddressID>
        <PleaTypeID>4</PleaTypeID>
        <LawyerOfficeName>משרד עו"ד: מונסף שלח</LawyerOfficeName>
        <LawyerOfficeID>444963</LawyerOfficeID>
        <GroupPartyAlias/>
        <IsConverted>false</IsConverted>
        <LegalEntityNameID>25303</LegalEntityNameID>
        <RepresentatedNamesOfAssistant/>
        <LegalEntityTypeID>4</LegalEntityTypeID>
        <IsVerdictExists>false</IsVerdictExists>
        <IsAsirAzir>false</IsAsirAzir>
        <IsPublicationProhibited>false</IsPublicationProhibited>
        <PublicationProhibitedFullName>מונסף שלח</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תאופיק כתילי</FullName>
        <FirstName>תאופיק</FirstName>
        <LastName>כתילי</LastName>
        <PartyPropertyName/>
        <AuthenticationTypeAndNumber>ת"ז 020443537</AuthenticationTypeAndNumber>
        <RepresentatedOrRepresentativesNames/>
        <RepresentatedOrRepresentativesCount>0</RepresentatedOrRepresentativesCount>
        <InvitedBy/>
        <CaseID>77819529</CaseID>
        <CaseJudicialPersonPresentationDS>
          <CaseJudicalPersonActive>
            <CaseID>77819529</CaseID>
            <JudicialPersonID>036317956@GOV.IL</JudicialPersonID>
            <JudicialPersonTypeID>1</JudicialPersonTypeID>
            <JudicialTypeID>1</JudicialTypeID>
            <IsChairman>false</IsChairman>
            <TreatmentStartDate>2021-09-02T10:13:56.43+03:00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253431924</CasePartyID>
        <PartyTypeID>3</PartyTypeID>
        <ActivityStatusID>1</ActivityStatusID>
        <LegalEntityID>75922901</LegalEntityID>
        <CaseLegalEntityID>123654386</CaseLegalEntityID>
        <AssistantRoleID>6</AssistantRoleID>
        <AuthenticationTypeID>1</AuthenticationTypeID>
        <AuthenticationTypeName>ת"ז</AuthenticationTypeName>
        <LegalEntityNumber>020443537</LegalEntityNumber>
        <IsMainPartyType>true</IsMainPartyType>
        <CaseDisplayIdentifier>58276-10-20</CaseDisplayIdentifier>
        <CaseTypeID>15</CaseTypeID>
        <CaseTypeName>תיק משפחה (תמ"ש)</CaseTypeName>
        <CaseName>מור נ' גבור ואח'</CaseName>
        <FullAddress>בניין גן התעשייה ( הייטק ) נצרת </FullAddress>
        <MotionID>0</MotionID>
        <CasePleaID>0</CasePleaID>
        <LinkedCaseID>0</LinkedCaseID>
        <PartyID>1</PartyID>
        <CasePartyCategoryID>2</CasePartyCategoryID>
        <LegalEntityAddressID>87710707</LegalEntityAddressID>
        <PleaTypeID>4</PleaTypeID>
        <GroupPartyAlias/>
        <IsConverted>false</IsConverted>
        <LegalEntityNameID>82926709</LegalEntityNameID>
        <RepresentatedNamesOfAssistant/>
        <LegalEntityTypeID>11</LegalEntityTypeID>
        <IsVerdictExists>false</IsVerdictExists>
        <IsAsirAzir>false</IsAsirAzir>
        <IsPublicationProhibited>false</IsPublicationProhibited>
        <PublicationProhibitedFullName>תאופיק כתילי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נרקיס חנייא</FullName>
        <FirstName>נרקיס</FirstName>
        <LastName>חנייא</LastName>
        <PartyPropertyName/>
        <AuthenticationTypeAndNumber>מ.ר. 83478</AuthenticationTypeAndNumber>
        <RepresentatedOrRepresentativesNames>רפיק גבור</RepresentatedOrRepresentativesNames>
        <RepresentatedOrRepresentativesCount>1</RepresentatedOrRepresentativesCount>
        <InvitedBy/>
        <CaseID>77819529</CaseID>
        <CaseJudicialPersonPresentationDS>
          <CaseJudicalPersonActive>
            <CaseID>77819529</CaseID>
            <JudicialPersonID>036317956@GOV.IL</JudicialPersonID>
            <JudicialPersonTypeID>1</JudicialPersonTypeID>
            <JudicialTypeID>1</JudicialTypeID>
            <IsChairman>false</IsChairman>
            <TreatmentStartDate>2021-09-02T10:13:56.43+03:00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218372231</CasePartyID>
        <PartyTypeID>2</PartyTypeID>
        <ActivityStatusID>1</ActivityStatusID>
        <PartyAliasID>21</PartyAliasID>
        <PartyAliasName>בא כוח נתבעים</PartyAliasName>
        <LegalEntityID>77984843</LegalEntityID>
        <CaseLegalEntityID>112969960</CaseLegalEntityID>
        <AuthenticationTypeID>4</AuthenticationTypeID>
        <AuthenticationTypeName>מ.ר.</AuthenticationTypeName>
        <LegalEntityNumber>83478</LegalEntityNumber>
        <IsMainPartyType>true</IsMainPartyType>
        <CaseDisplayIdentifier>58276-10-20</CaseDisplayIdentifier>
        <CaseTypeID>15</CaseTypeID>
        <CaseTypeName>תיק משפחה (תמ"ש)</CaseTypeName>
        <CaseName>מור נ' גבור ואח'</CaseName>
        <FullAddress>הרבי מלובאווטיטש 46/3 צפת </FullAddress>
        <EmailAddress>narkish.law@gmail.com</EmailAddress>
        <MotionID>0</MotionID>
        <CasePleaID>0</CasePleaID>
        <LinkedCaseID>0</LinkedCaseID>
        <PartyID>2</PartyID>
        <CasePartyCategoryID>2</CasePartyCategoryID>
        <LegalEntityAddressID>82409684</LegalEntityAddressID>
        <LegalEntityEmailAddressID>68015386</LegalEntityEmailAddressID>
        <PleaTypeID>4</PleaTypeID>
        <LawyerOfficeName>משרד עו"ד נרקיס חנייא</LawyerOfficeName>
        <LawyerOfficeID>77984844</LawyerOfficeID>
        <GroupPartyAlias/>
        <IsConverted>false</IsConverted>
        <LegalEntityNameID>87440697</LegalEntityNameID>
        <RepresentatedNamesOfAssistant/>
        <LegalEntityTypeID>4</LegalEntityTypeID>
        <IsVerdictExists>false</IsVerdictExists>
        <IsAsirAzir>false</IsAsirAzir>
        <IsPublicationProhibited>false</IsPublicationProhibited>
        <PublicationProhibitedFullName>נרקיס חנייא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ג'ורג'ת מור</FullName>
        <FirstName>ג'ורג'ית</FirstName>
        <LastName>מור</LastName>
        <PartyPropertyName/>
        <AuthenticationTypeAndNumber>ת"ז 020378196</AuthenticationTypeAndNumber>
        <RepresentatedOrRepresentativesNames>תמארה מור, מונסף שלח</RepresentatedOrRepresentativesNames>
        <RepresentatedOrRepresentativesCount>2</RepresentatedOrRepresentativesCount>
        <InvitedBy/>
        <CaseID>77819529</CaseID>
        <CaseJudicialPersonPresentationDS>
          <CaseJudicalPersonActive>
            <CaseID>77819529</CaseID>
            <JudicialPersonID>036317956@GOV.IL</JudicialPersonID>
            <JudicialPersonTypeID>1</JudicialPersonTypeID>
            <JudicialTypeID>1</JudicialTypeID>
            <IsChairman>false</IsChairman>
            <TreatmentStartDate>2021-09-02T10:13:56.43+03:00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217961298</CasePartyID>
        <PartyTypeID>1</PartyTypeID>
        <ActivityStatusID>1</ActivityStatusID>
        <PartyAliasID>1</PartyAliasID>
        <PartyAliasName>תובע</PartyAliasName>
        <OrdinalNumber>1</OrdinalNumber>
        <LegalEntityID>3716347</LegalEntityID>
        <CaseLegalEntityID>112845540</CaseLegalEntityID>
        <AuthenticationTypeID>1</AuthenticationTypeID>
        <AuthenticationTypeName>ת"ז</AuthenticationTypeName>
        <LegalEntityNumber>020378196</LegalEntityNumber>
        <IsMainPartyType>true</IsMainPartyType>
        <CaseDisplayIdentifier>58276-10-20</CaseDisplayIdentifier>
        <CaseTypeID>15</CaseTypeID>
        <CaseTypeName>תיק משפחה (תמ"ש)</CaseTypeName>
        <CaseName>מור נ' גבור ואח'</CaseName>
        <FullAddress>15/152 שפרעם </FullAddress>
        <MotionID>0</MotionID>
        <CasePleaID>0</CasePleaID>
        <FatherName>חנא</FatherName>
        <LinkedCaseID>0</LinkedCaseID>
        <PartyID>1</PartyID>
        <CasePartyCategoryID>2</CasePartyCategoryID>
        <LegalEntityAddressID>84462727</LegalEntityAddressID>
        <PleaTypeID>4</PleaTypeID>
        <GroupPartyAlias>תובעים</GroupPartyAlias>
        <IsConverted>false</IsConverted>
        <LegalEntityRegisteredNameID>1862590</LegalEntityRegisteredNameID>
        <LegalEntityNameID>90395844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ג'ורג'ת מור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רפיק גבור</FullName>
        <FirstName>רפיק</FirstName>
        <LastName>ג'בור</LastName>
        <PartyPropertyName/>
        <AuthenticationTypeAndNumber>ת"ז 054385398</AuthenticationTypeAndNumber>
        <RepresentatedOrRepresentativesNames>נרקיס חנייא</RepresentatedOrRepresentativesNames>
        <RepresentatedOrRepresentativesCount>1</RepresentatedOrRepresentativesCount>
        <InvitedBy/>
        <CaseID>77819529</CaseID>
        <CaseJudicialPersonPresentationDS>
          <CaseJudicalPersonActive>
            <CaseID>77819529</CaseID>
            <JudicialPersonID>036317956@GOV.IL</JudicialPersonID>
            <JudicialPersonTypeID>1</JudicialPersonTypeID>
            <JudicialTypeID>1</JudicialTypeID>
            <IsChairman>false</IsChairman>
            <TreatmentStartDate>2021-09-02T10:13:56.43+03:00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217961299</CasePartyID>
        <PartyTypeID>1</PartyTypeID>
        <ActivityStatusID>1</ActivityStatusID>
        <PartyAliasID>2</PartyAliasID>
        <PartyAliasName>נתבע</PartyAliasName>
        <OrdinalNumber>1</OrdinalNumber>
        <LegalEntityID>3760311</LegalEntityID>
        <CaseLegalEntityID>112845541</CaseLegalEntityID>
        <AuthenticationTypeID>1</AuthenticationTypeID>
        <AuthenticationTypeName>ת"ז</AuthenticationTypeName>
        <LegalEntityNumber>054385398</LegalEntityNumber>
        <IsMainPartyType>true</IsMainPartyType>
        <CaseDisplayIdentifier>58276-10-20</CaseDisplayIdentifier>
        <CaseTypeID>15</CaseTypeID>
        <CaseTypeName>תיק משפחה (תמ"ש)</CaseTypeName>
        <CaseName>מור נ' גבור ואח'</CaseName>
        <FullAddress>שפרעם </FullAddress>
        <MotionID>0</MotionID>
        <CasePleaID>0</CasePleaID>
        <FatherName>חנא</FatherName>
        <LinkedCaseID>0</LinkedCaseID>
        <PartyID>2</PartyID>
        <CasePartyCategoryID>2</CasePartyCategoryID>
        <LegalEntityAddressID>84462728</LegalEntityAddressID>
        <PleaTypeID>4</PleaTypeID>
        <GroupPartyAlias>נתבעים</GroupPartyAlias>
        <IsConverted>false</IsConverted>
        <LegalEntityRegisteredNameID>1813316</LegalEntityRegisteredNameID>
        <LegalEntityNameID>90395845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רפיק גבור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חליל לחאם</FullName>
        <FirstName>ח'ליל</FirstName>
        <LastName>לחאם</LastName>
        <PartyPropertyName/>
        <AuthenticationTypeAndNumber>ת"ז 020546701</AuthenticationTypeAndNumber>
        <RepresentatedOrRepresentativesNames/>
        <RepresentatedOrRepresentativesCount>0</RepresentatedOrRepresentativesCount>
        <InvitedBy/>
        <CaseID>77819529</CaseID>
        <CaseJudicialPersonPresentationDS>
          <CaseJudicalPersonActive>
            <CaseID>77819529</CaseID>
            <JudicialPersonID>036317956@GOV.IL</JudicialPersonID>
            <JudicialPersonTypeID>1</JudicialPersonTypeID>
            <JudicialTypeID>1</JudicialTypeID>
            <IsChairman>false</IsChairman>
            <TreatmentStartDate>2021-09-02T10:13:56.43+03:00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217961300</CasePartyID>
        <PartyTypeID>1</PartyTypeID>
        <ActivityStatusID>1</ActivityStatusID>
        <PartyAliasID>2</PartyAliasID>
        <PartyAliasName>נתבע</PartyAliasName>
        <OrdinalNumber>2</OrdinalNumber>
        <LegalEntityID>15904825</LegalEntityID>
        <CaseLegalEntityID>112845542</CaseLegalEntityID>
        <AuthenticationTypeID>1</AuthenticationTypeID>
        <AuthenticationTypeName>ת"ז</AuthenticationTypeName>
        <LegalEntityNumber>020546701</LegalEntityNumber>
        <IsMainPartyType>true</IsMainPartyType>
        <CaseDisplayIdentifier>58276-10-20</CaseDisplayIdentifier>
        <CaseTypeID>15</CaseTypeID>
        <CaseTypeName>תיק משפחה (תמ"ש)</CaseTypeName>
        <CaseName>מור נ' גבור ואח'</CaseName>
        <FullAddress/>
        <MotionID>0</MotionID>
        <CasePleaID>0</CasePleaID>
        <FatherName>אליאס</FatherName>
        <LinkedCaseID>0</LinkedCaseID>
        <PartyID>2</PartyID>
        <CasePartyCategoryID>2</CasePartyCategoryID>
        <PleaTypeID>4</PleaTypeID>
        <GroupPartyAlias>נתבעים</GroupPartyAlias>
        <IsConverted>false</IsConverted>
        <LegalEntityRegisteredNameID>1730902</LegalEntityRegisteredNameID>
        <LegalEntityNameID>93008489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חליל לחאם</PublicationProhibitedFullName>
      </CaseParties>
    </CasePartiesSelectionDS>
    <DecisionName>החלטה  שניתנה ע"י  ליאת דהן חיון</DecisionName>
    <CourtDisplayName>בית משפט לענייני משפחה בקריות</CourtDisplayName>
    <IsCaseJudgePanel>false</IsCaseJudgePanel>
    <DecisionSignatureDate>2024-05-23T15:25:20.0414412+03:00</DecisionSignatureDate>
    <OpenCaseDate>2020-10-28T08:24:00+02:00</OpenCaseDate>
    <CaseFeeSum>0.000</CaseFeeSum>
    <DecisionTypeID>1</DecisionTypeID>
    <DecisionSignatureUserName>ליאת דהן חיון</DecisionSignatureUserName>
    <DecisionSignatureDateHebrew>2024-05-23T15:25:20.0414412+03:00</DecisionSignatureDateHebrew>
    <DecisionWriterID>036317956@GOV.IL</DecisionWriterID>
    <CourtAddress>רח' דרך עכו 194, קריית ביאליק 27232</CourtAddress>
    <IsAutoTextInCaseExist>true</IsAutoTextInCaseExist>
    <DecisionSignatureRoleName>שופט</DecisionSignatureRoleName>
    <DecisionSignatureUserTitleName>שופטת</DecisionSignatureUserTitleName>
    <CaseName>מור נ' גבור ואח'</CaseName>
    <DecisionNumberInCase>14</DecisionNumberInCase>
  </dt_Decision>
  <dt_DecisionCase>
    <DecisionID>0</DecisionID>
    <CaseID>77819529</CaseID>
    <CaseJudicialPersonPresentationDS>
      <CaseJudicalPersonActive>
        <CaseID>77819529</CaseID>
        <JudicialPersonID>036317956@GOV.IL</JudicialPersonID>
        <JudicialPersonTypeID>1</JudicialPersonTypeID>
        <JudicialTypeID>1</JudicialTypeID>
        <IsChairman>false</IsChairman>
        <TreatmentStartDate>2021-09-02T10:13:56.43+03:00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תמארה מור</FullName>
        <FirstName>תמארה</FirstName>
        <LastName>מור</LastName>
        <PartyPropertyName/>
        <AuthenticationTypeAndNumber>מ.ר. 37401</AuthenticationTypeAndNumber>
        <RepresentatedOrRepresentativesNames>ג'ורג'ת מור</RepresentatedOrRepresentativesNames>
        <RepresentatedOrRepresentativesCount>1</RepresentatedOrRepresentativesCount>
        <InvitedBy/>
        <CaseID>77819529</CaseID>
        <CaseJudicialPersonPresentationDS>
          <CaseJudicalPersonActive>
            <CaseID>77819529</CaseID>
            <JudicialPersonID>036317956@GOV.IL</JudicialPersonID>
            <JudicialPersonTypeID>1</JudicialPersonTypeID>
            <JudicialTypeID>1</JudicialTypeID>
            <IsChairman>false</IsChairman>
            <TreatmentStartDate>2021-09-02T10:13:56.43+03:00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228119479</CasePartyID>
        <PartyTypeID>2</PartyTypeID>
        <ActivityStatusID>1</ActivityStatusID>
        <PartyAliasID>20</PartyAliasID>
        <PartyAliasName>בא כוח תובעים</PartyAliasName>
        <LegalEntityID>408460</LegalEntityID>
        <CaseLegalEntityID>115798457</CaseLegalEntityID>
        <AuthenticationTypeID>4</AuthenticationTypeID>
        <AuthenticationTypeName>מ.ר.</AuthenticationTypeName>
        <LegalEntityNumber>37401</LegalEntityNumber>
        <IsMainPartyType>true</IsMainPartyType>
        <CaseDisplayIdentifier>58276-10-20</CaseDisplayIdentifier>
        <CaseTypeID>15</CaseTypeID>
        <CaseTypeName>תיק משפחה (תמ"ש)</CaseTypeName>
        <CaseName>מור נ' גבור ואח'</CaseName>
        <FullAddress>15/152 שפרעם </FullAddress>
        <EmailAddress>mourtamara@yahoo.it</EmailAddress>
        <MotionID>0</MotionID>
        <CasePleaID>0</CasePleaID>
        <FatherName xml:space="preserve">        </FatherName>
        <LinkedCaseID>0</LinkedCaseID>
        <PartyID>1</PartyID>
        <CasePartyCategoryID>2</CasePartyCategoryID>
        <LegalEntityAddressID>451442</LegalEntityAddressID>
        <LegalEntityEmailAddressID>67943875</LegalEntityEmailAddressID>
        <PleaTypeID>4</PleaTypeID>
        <LawyerOfficeName>משרד עו"ד: תמארה מור</LawyerOfficeName>
        <LawyerOfficeID>449104</LawyerOfficeID>
        <GroupPartyAlias/>
        <IsConverted>false</IsConverted>
        <LegalEntityNameID>29444</LegalEntityNameID>
        <RepresentatedNamesOfAssistant/>
        <LegalEntityTypeID>4</LegalEntityTypeID>
        <IsVerdictExists>false</IsVerdictExists>
        <IsAsirAzir>false</IsAsirAzir>
        <IsPublicationProhibited>false</IsPublicationProhibited>
        <PublicationProhibitedFullName>תמארה מור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מונסף שלח</FullName>
        <FirstName>מונסף</FirstName>
        <LastName>שלח</LastName>
        <PartyPropertyName/>
        <AuthenticationTypeAndNumber>מ.ר. 28645</AuthenticationTypeAndNumber>
        <RepresentatedOrRepresentativesNames>ג'ורג'ת מור</RepresentatedOrRepresentativesNames>
        <RepresentatedOrRepresentativesCount>1</RepresentatedOrRepresentativesCount>
        <InvitedBy/>
        <CaseID>77819529</CaseID>
        <CaseJudicialPersonPresentationDS>
          <CaseJudicalPersonActive>
            <CaseID>77819529</CaseID>
            <JudicialPersonID>036317956@GOV.IL</JudicialPersonID>
            <JudicialPersonTypeID>1</JudicialPersonTypeID>
            <JudicialTypeID>1</JudicialTypeID>
            <IsChairman>false</IsChairman>
            <TreatmentStartDate>2021-09-02T10:13:56.43+03:00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240202379</CasePartyID>
        <PartyTypeID>2</PartyTypeID>
        <ActivityStatusID>1</ActivityStatusID>
        <PartyAliasID>20</PartyAliasID>
        <PartyAliasName>בא כוח תובעים</PartyAliasName>
        <LegalEntityID>404319</LegalEntityID>
        <CaseLegalEntityID>119519780</CaseLegalEntityID>
        <AuthenticationTypeID>4</AuthenticationTypeID>
        <AuthenticationTypeName>מ.ר.</AuthenticationTypeName>
        <LegalEntityNumber>28645</LegalEntityNumber>
        <IsMainPartyType>true</IsMainPartyType>
        <CaseDisplayIdentifier>58276-10-20</CaseDisplayIdentifier>
        <CaseTypeID>15</CaseTypeID>
        <CaseTypeName>תיק משפחה (תמ"ש)</CaseTypeName>
        <CaseName>מור נ' גבור ואח'</CaseName>
        <FullAddress>אזור התעשייה שפרעם ת"ד 186</FullAddress>
        <EmailAddress>monsef.shalah@gmail.com </EmailAddress>
        <MotionID>0</MotionID>
        <CasePleaID>0</CasePleaID>
        <FatherName xml:space="preserve">        </FatherName>
        <LinkedCaseID>0</LinkedCaseID>
        <PartyID>1</PartyID>
        <CasePartyCategoryID>2</CasePartyCategoryID>
        <LegalEntityAddressID>76837562</LegalEntityAddressID>
        <LegalEntityEmailAddressID>67962427</LegalEntityEmailAddressID>
        <PleaTypeID>4</PleaTypeID>
        <LawyerOfficeName>משרד עו"ד: מונסף שלח</LawyerOfficeName>
        <LawyerOfficeID>444963</LawyerOfficeID>
        <GroupPartyAlias/>
        <IsConverted>false</IsConverted>
        <LegalEntityNameID>25303</LegalEntityNameID>
        <RepresentatedNamesOfAssistant/>
        <LegalEntityTypeID>4</LegalEntityTypeID>
        <IsVerdictExists>false</IsVerdictExists>
        <IsAsirAzir>false</IsAsirAzir>
        <IsPublicationProhibited>false</IsPublicationProhibited>
        <PublicationProhibitedFullName>מונסף שלח</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תאופיק כתילי</FullName>
        <FirstName>תאופיק</FirstName>
        <LastName>כתילי</LastName>
        <PartyPropertyName/>
        <AuthenticationTypeAndNumber>ת"ז 020443537</AuthenticationTypeAndNumber>
        <RepresentatedOrRepresentativesNames/>
        <RepresentatedOrRepresentativesCount>0</RepresentatedOrRepresentativesCount>
        <InvitedBy/>
        <CaseID>77819529</CaseID>
        <CaseJudicialPersonPresentationDS>
          <CaseJudicalPersonActive>
            <CaseID>77819529</CaseID>
            <JudicialPersonID>036317956@GOV.IL</JudicialPersonID>
            <JudicialPersonTypeID>1</JudicialPersonTypeID>
            <JudicialTypeID>1</JudicialTypeID>
            <IsChairman>false</IsChairman>
            <TreatmentStartDate>2021-09-02T10:13:56.43+03:00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253431924</CasePartyID>
        <PartyTypeID>3</PartyTypeID>
        <ActivityStatusID>1</ActivityStatusID>
        <LegalEntityID>75922901</LegalEntityID>
        <CaseLegalEntityID>123654386</CaseLegalEntityID>
        <AssistantRoleID>6</AssistantRoleID>
        <AuthenticationTypeID>1</AuthenticationTypeID>
        <AuthenticationTypeName>ת"ז</AuthenticationTypeName>
        <LegalEntityNumber>020443537</LegalEntityNumber>
        <IsMainPartyType>true</IsMainPartyType>
        <CaseDisplayIdentifier>58276-10-20</CaseDisplayIdentifier>
        <CaseTypeID>15</CaseTypeID>
        <CaseTypeName>תיק משפחה (תמ"ש)</CaseTypeName>
        <CaseName>מור נ' גבור ואח'</CaseName>
        <FullAddress>בניין גן התעשייה ( הייטק ) נצרת </FullAddress>
        <MotionID>0</MotionID>
        <CasePleaID>0</CasePleaID>
        <LinkedCaseID>0</LinkedCaseID>
        <PartyID>1</PartyID>
        <CasePartyCategoryID>2</CasePartyCategoryID>
        <LegalEntityAddressID>87710707</LegalEntityAddressID>
        <PleaTypeID>4</PleaTypeID>
        <GroupPartyAlias/>
        <IsConverted>false</IsConverted>
        <LegalEntityNameID>82926709</LegalEntityNameID>
        <RepresentatedNamesOfAssistant/>
        <LegalEntityTypeID>11</LegalEntityTypeID>
        <IsVerdictExists>false</IsVerdictExists>
        <IsAsirAzir>false</IsAsirAzir>
        <IsPublicationProhibited>false</IsPublicationProhibited>
        <PublicationProhibitedFullName>תאופיק כתילי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נרקיס חנייא</FullName>
        <FirstName>נרקיס</FirstName>
        <LastName>חנייא</LastName>
        <PartyPropertyName/>
        <AuthenticationTypeAndNumber>מ.ר. 83478</AuthenticationTypeAndNumber>
        <RepresentatedOrRepresentativesNames>רפיק גבור</RepresentatedOrRepresentativesNames>
        <RepresentatedOrRepresentativesCount>1</RepresentatedOrRepresentativesCount>
        <InvitedBy/>
        <CaseID>77819529</CaseID>
        <CaseJudicialPersonPresentationDS>
          <CaseJudicalPersonActive>
            <CaseID>77819529</CaseID>
            <JudicialPersonID>036317956@GOV.IL</JudicialPersonID>
            <JudicialPersonTypeID>1</JudicialPersonTypeID>
            <JudicialTypeID>1</JudicialTypeID>
            <IsChairman>false</IsChairman>
            <TreatmentStartDate>2021-09-02T10:13:56.43+03:00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218372231</CasePartyID>
        <PartyTypeID>2</PartyTypeID>
        <ActivityStatusID>1</ActivityStatusID>
        <PartyAliasID>21</PartyAliasID>
        <PartyAliasName>בא כוח נתבעים</PartyAliasName>
        <LegalEntityID>77984843</LegalEntityID>
        <CaseLegalEntityID>112969960</CaseLegalEntityID>
        <AuthenticationTypeID>4</AuthenticationTypeID>
        <AuthenticationTypeName>מ.ר.</AuthenticationTypeName>
        <LegalEntityNumber>83478</LegalEntityNumber>
        <IsMainPartyType>true</IsMainPartyType>
        <CaseDisplayIdentifier>58276-10-20</CaseDisplayIdentifier>
        <CaseTypeID>15</CaseTypeID>
        <CaseTypeName>תיק משפחה (תמ"ש)</CaseTypeName>
        <CaseName>מור נ' גבור ואח'</CaseName>
        <FullAddress>הרבי מלובאווטיטש 46/3 צפת </FullAddress>
        <EmailAddress>narkish.law@gmail.com</EmailAddress>
        <MotionID>0</MotionID>
        <CasePleaID>0</CasePleaID>
        <LinkedCaseID>0</LinkedCaseID>
        <PartyID>2</PartyID>
        <CasePartyCategoryID>2</CasePartyCategoryID>
        <LegalEntityAddressID>82409684</LegalEntityAddressID>
        <LegalEntityEmailAddressID>68015386</LegalEntityEmailAddressID>
        <PleaTypeID>4</PleaTypeID>
        <LawyerOfficeName>משרד עו"ד נרקיס חנייא</LawyerOfficeName>
        <LawyerOfficeID>77984844</LawyerOfficeID>
        <GroupPartyAlias/>
        <IsConverted>false</IsConverted>
        <LegalEntityNameID>87440697</LegalEntityNameID>
        <RepresentatedNamesOfAssistant/>
        <LegalEntityTypeID>4</LegalEntityTypeID>
        <IsVerdictExists>false</IsVerdictExists>
        <IsAsirAzir>false</IsAsirAzir>
        <IsPublicationProhibited>false</IsPublicationProhibited>
        <PublicationProhibitedFullName>נרקיס חנייא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ג'ורג'ת מור</FullName>
        <FirstName>ג'ורג'ית</FirstName>
        <LastName>מור</LastName>
        <PartyPropertyName/>
        <AuthenticationTypeAndNumber>ת"ז 020378196</AuthenticationTypeAndNumber>
        <RepresentatedOrRepresentativesNames>תמארה מור, מונסף שלח</RepresentatedOrRepresentativesNames>
        <RepresentatedOrRepresentativesCount>2</RepresentatedOrRepresentativesCount>
        <InvitedBy/>
        <CaseID>77819529</CaseID>
        <CaseJudicialPersonPresentationDS>
          <CaseJudicalPersonActive>
            <CaseID>77819529</CaseID>
            <JudicialPersonID>036317956@GOV.IL</JudicialPersonID>
            <JudicialPersonTypeID>1</JudicialPersonTypeID>
            <JudicialTypeID>1</JudicialTypeID>
            <IsChairman>false</IsChairman>
            <TreatmentStartDate>2021-09-02T10:13:56.43+03:00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217961298</CasePartyID>
        <PartyTypeID>1</PartyTypeID>
        <ActivityStatusID>1</ActivityStatusID>
        <PartyAliasID>1</PartyAliasID>
        <PartyAliasName>תובע</PartyAliasName>
        <OrdinalNumber>1</OrdinalNumber>
        <LegalEntityID>3716347</LegalEntityID>
        <CaseLegalEntityID>112845540</CaseLegalEntityID>
        <AuthenticationTypeID>1</AuthenticationTypeID>
        <AuthenticationTypeName>ת"ז</AuthenticationTypeName>
        <LegalEntityNumber>020378196</LegalEntityNumber>
        <IsMainPartyType>true</IsMainPartyType>
        <CaseDisplayIdentifier>58276-10-20</CaseDisplayIdentifier>
        <CaseTypeID>15</CaseTypeID>
        <CaseTypeName>תיק משפחה (תמ"ש)</CaseTypeName>
        <CaseName>מור נ' גבור ואח'</CaseName>
        <FullAddress>15/152 שפרעם </FullAddress>
        <MotionID>0</MotionID>
        <CasePleaID>0</CasePleaID>
        <FatherName>חנא</FatherName>
        <LinkedCaseID>0</LinkedCaseID>
        <PartyID>1</PartyID>
        <CasePartyCategoryID>2</CasePartyCategoryID>
        <LegalEntityAddressID>84462727</LegalEntityAddressID>
        <PleaTypeID>4</PleaTypeID>
        <GroupPartyAlias>תובעים</GroupPartyAlias>
        <IsConverted>false</IsConverted>
        <LegalEntityRegisteredNameID>1862590</LegalEntityRegisteredNameID>
        <LegalEntityNameID>90395844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ג'ורג'ת מור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רפיק גבור</FullName>
        <FirstName>רפיק</FirstName>
        <LastName>ג'בור</LastName>
        <PartyPropertyName/>
        <AuthenticationTypeAndNumber>ת"ז 054385398</AuthenticationTypeAndNumber>
        <RepresentatedOrRepresentativesNames>נרקיס חנייא</RepresentatedOrRepresentativesNames>
        <RepresentatedOrRepresentativesCount>1</RepresentatedOrRepresentativesCount>
        <InvitedBy/>
        <CaseID>77819529</CaseID>
        <CaseJudicialPersonPresentationDS>
          <CaseJudicalPersonActive>
            <CaseID>77819529</CaseID>
            <JudicialPersonID>036317956@GOV.IL</JudicialPersonID>
            <JudicialPersonTypeID>1</JudicialPersonTypeID>
            <JudicialTypeID>1</JudicialTypeID>
            <IsChairman>false</IsChairman>
            <TreatmentStartDate>2021-09-02T10:13:56.43+03:00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217961299</CasePartyID>
        <PartyTypeID>1</PartyTypeID>
        <ActivityStatusID>1</ActivityStatusID>
        <PartyAliasID>2</PartyAliasID>
        <PartyAliasName>נתבע</PartyAliasName>
        <OrdinalNumber>1</OrdinalNumber>
        <LegalEntityID>3760311</LegalEntityID>
        <CaseLegalEntityID>112845541</CaseLegalEntityID>
        <AuthenticationTypeID>1</AuthenticationTypeID>
        <AuthenticationTypeName>ת"ז</AuthenticationTypeName>
        <LegalEntityNumber>054385398</LegalEntityNumber>
        <IsMainPartyType>true</IsMainPartyType>
        <CaseDisplayIdentifier>58276-10-20</CaseDisplayIdentifier>
        <CaseTypeID>15</CaseTypeID>
        <CaseTypeName>תיק משפחה (תמ"ש)</CaseTypeName>
        <CaseName>מור נ' גבור ואח'</CaseName>
        <FullAddress>שפרעם </FullAddress>
        <MotionID>0</MotionID>
        <CasePleaID>0</CasePleaID>
        <FatherName>חנא</FatherName>
        <LinkedCaseID>0</LinkedCaseID>
        <PartyID>2</PartyID>
        <CasePartyCategoryID>2</CasePartyCategoryID>
        <LegalEntityAddressID>84462728</LegalEntityAddressID>
        <PleaTypeID>4</PleaTypeID>
        <GroupPartyAlias>נתבעים</GroupPartyAlias>
        <IsConverted>false</IsConverted>
        <LegalEntityRegisteredNameID>1813316</LegalEntityRegisteredNameID>
        <LegalEntityNameID>90395845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רפיק גבור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חליל לחאם</FullName>
        <FirstName>ח'ליל</FirstName>
        <LastName>לחאם</LastName>
        <PartyPropertyName/>
        <AuthenticationTypeAndNumber>ת"ז 020546701</AuthenticationTypeAndNumber>
        <RepresentatedOrRepresentativesNames/>
        <RepresentatedOrRepresentativesCount>0</RepresentatedOrRepresentativesCount>
        <InvitedBy/>
        <CaseID>77819529</CaseID>
        <CaseJudicialPersonPresentationDS>
          <CaseJudicalPersonActive>
            <CaseID>77819529</CaseID>
            <JudicialPersonID>036317956@GOV.IL</JudicialPersonID>
            <JudicialPersonTypeID>1</JudicialPersonTypeID>
            <JudicialTypeID>1</JudicialTypeID>
            <IsChairman>false</IsChairman>
            <TreatmentStartDate>2021-09-02T10:13:56.43+03:00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217961300</CasePartyID>
        <PartyTypeID>1</PartyTypeID>
        <ActivityStatusID>1</ActivityStatusID>
        <PartyAliasID>2</PartyAliasID>
        <PartyAliasName>נתבע</PartyAliasName>
        <OrdinalNumber>2</OrdinalNumber>
        <LegalEntityID>15904825</LegalEntityID>
        <CaseLegalEntityID>112845542</CaseLegalEntityID>
        <AuthenticationTypeID>1</AuthenticationTypeID>
        <AuthenticationTypeName>ת"ז</AuthenticationTypeName>
        <LegalEntityNumber>020546701</LegalEntityNumber>
        <IsMainPartyType>true</IsMainPartyType>
        <CaseDisplayIdentifier>58276-10-20</CaseDisplayIdentifier>
        <CaseTypeID>15</CaseTypeID>
        <CaseTypeName>תיק משפחה (תמ"ש)</CaseTypeName>
        <CaseName>מור נ' גבור ואח'</CaseName>
        <FullAddress/>
        <MotionID>0</MotionID>
        <CasePleaID>0</CasePleaID>
        <FatherName>אליאס</FatherName>
        <LinkedCaseID>0</LinkedCaseID>
        <PartyID>2</PartyID>
        <CasePartyCategoryID>2</CasePartyCategoryID>
        <PleaTypeID>4</PleaTypeID>
        <GroupPartyAlias>נתבעים</GroupPartyAlias>
        <IsConverted>false</IsConverted>
        <LegalEntityRegisteredNameID>1730902</LegalEntityRegisteredNameID>
        <LegalEntityNameID>93008489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חליל לחאם</PublicationProhibitedFullName>
      </CaseParties>
    </CasePartiesSelectionDS>
    <CaseName>מור נ' גבור ואח'</CaseName>
    <CaseDisplayIdentifier>58276-10-20</CaseDisplayIdentifier>
    <CaseInterestID>167</CaseInterestID>
    <CaseTypeShortName>תמ"ש</CaseTypeShortName>
  </dt_DecisionCase>
  <dt_DecisionJudgePanel>
    <JudgeID>036317956@GOV.IL</JudgeID>
    <DisplayName>ליאת דהן חיון</DisplayName>
    <RoleName>שופט</RoleName>
    <UserTitleName>שופטת</UserTitleName>
  </dt_DecisionJudgePanel>
  <dt_LegalEntityDetails>
    <Fax>04-6668889</Fax>
    <Phone>04-6668888</Phone>
    <PartyID>2</PartyID>
    <PartyTypeID>2</PartyTypeID>
    <DecisionID>0</DecisionID>
    <StreetName>הרבי מלובאווטיטש 46/3</StreetName>
    <ZipCode>1322901</ZipCode>
    <CityName>צפת</CityName>
    <FullName>נרקיס חנייא</FullName>
    <Email>narkish.law@gmail.com</Email>
    <IsPublicationProhibited>false</IsPublicationProhibited>
  </dt_LegalEntityDetails>
  <dt_LegalEntityDetails>
    <Fax>04-9861555</Fax>
    <Phone>04-9861555</Phone>
    <PartyID>1</PartyID>
    <PartyTypeID>2</PartyTypeID>
    <DecisionID>0</DecisionID>
    <StreetName>15/152  </StreetName>
    <ZipCode>20200</ZipCode>
    <CityName>שפרעם</CityName>
    <FullName>תמארה מור</FullName>
    <Email>mourtamara@yahoo.it</Email>
    <IsPublicationProhibited>false</IsPublicationProhibited>
  </dt_LegalEntityDetails>
  <dt_LegalEntityDetails>
    <Fax>04-9500274</Fax>
    <Phone>04-9500274</Phone>
    <AddressDesc>ת"ד 186</AddressDesc>
    <PartyID>1</PartyID>
    <PartyTypeID>2</PartyTypeID>
    <DecisionID>0</DecisionID>
    <StreetName>אזור התעשייה</StreetName>
    <ZipCode>20200</ZipCode>
    <CityName>שפרעם</CityName>
    <FullName>מונסף שלח</FullName>
    <Email>monsef.shalah@gmail.com </Email>
    <IsPublicationProhibited>false</IsPublicationProhibited>
  </dt_LegalEntityDetails>
  <dt_LegalEntityDetails>
    <Fax>04-6185548</Fax>
    <Phone>04-6136301</Phone>
    <AddressDesc/>
    <PartyID>1</PartyID>
    <PartyTypeID>3</PartyTypeID>
    <DecisionID>0</DecisionID>
    <AssistantRoleID>6</AssistantRoleID>
    <StreetName>בניין גן התעשייה ( הייטק ) </StreetName>
    <CityName>נצרת</CityName>
    <FullName>תאופיק כתילי</FullName>
    <Email>kteily.law@gmail.com</Email>
    <IsPublicationProhibited>false</IsPublicationProhibited>
  </dt_LegalEntityDetails>
  <dt_LegalEntityDetails>
    <Fax>04-9861555</Fax>
    <PartyID>1</PartyID>
    <PartyTypeID>1</PartyTypeID>
    <DecisionID>0</DecisionID>
    <StreetName>15/152</StreetName>
    <CityName>שפרעם</CityName>
    <FullName>ג'ורג'ת  מור </FullName>
    <IsPublicationProhibited>false</IsPublicationProhibited>
  </dt_LegalEntityDetails>
  <dt_LegalEntityDetails>
    <PartyID>2</PartyID>
    <PartyTypeID>1</PartyTypeID>
    <DecisionID>0</DecisionID>
    <ZipCode>20200</ZipCode>
    <CityName>שפרעם</CityName>
    <FullName>רפיק  גבור </FullName>
    <IsPublicationProhibited>false</IsPublicationProhibited>
  </dt_LegalEntityDetails>
  <dt_LegalEntityDetails>
    <PartyID>2</PartyID>
    <PartyTypeID>1</PartyTypeID>
    <DecisionID>0</DecisionID>
    <FullName>חליל  לחאם </FullName>
    <IsPublicationProhibited>false</IsPublicationProhibited>
  </dt_LegalEntityDetails>
  <dt_CaseJudicalPersonActive>
    <CaseJudicalPerson>שופטת ליאת דהן חיון</CaseJudicalPerson>
  </dt_CaseJudicalPersonActive>
  <dt_Sitting>
    <PreviousMeetingDate>2024-02-28T12:00:00+02:00</PreviousMeetingDate>
    <PreviousSittingTypeID>5</PreviousSittingTypeID>
    <PreviousMeetingDisplayName>שופטת ליאת דהן חיון</PreviousMeetingDisplayName>
    <PreviousMeetingRoleName>שופט</PreviousMeetingRoleName>
    <PreviousMeetingUserTitleName>שופטת</PreviousMeetingUserTitleName>
    <PreviousMeetingUserUPN>036317956@GOV.IL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33FFD-107C-4053-92E2-7D5DAF849AF1}">
  <ds:schemaRefs/>
</ds:datastoreItem>
</file>

<file path=customXml/itemProps2.xml><?xml version="1.0" encoding="utf-8"?>
<ds:datastoreItem xmlns:ds="http://schemas.openxmlformats.org/officeDocument/2006/customXml" ds:itemID="{F1E47FA0-0614-4B22-840D-543AC67C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2339</Words>
  <Characters>11698</Characters>
  <Application>Microsoft Office Word</Application>
  <DocSecurity>0</DocSecurity>
  <Lines>97</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2024-07-25T05:26:00Z</dcterms:created>
  <dcterms:modified xsi:type="dcterms:W3CDTF">2024-07-25T05:26:00Z</dcterms:modified>
</cp:coreProperties>
</file>